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9B6705" w:rsidRPr="00004A5E" w:rsidRDefault="009B6705" w:rsidP="00004A5E">
      <w:pPr>
        <w:pStyle w:val="Title"/>
        <w:jc w:val="center"/>
        <w:rPr>
          <w:rFonts w:ascii="Times New Roman" w:hAnsi="Times New Roman" w:cs="Times New Roman"/>
        </w:rPr>
      </w:pPr>
      <w:r w:rsidRPr="00004A5E">
        <w:rPr>
          <w:rFonts w:ascii="Times New Roman" w:hAnsi="Times New Roman" w:cs="Times New Roman"/>
        </w:rPr>
        <w:t>A Tenuous Balance: The Evolving Role of the Internet in Facilitating Dissent</w:t>
      </w:r>
    </w:p>
    <w:p w:rsidR="002F38CB" w:rsidRDefault="002F38CB" w:rsidP="00BE44F2">
      <w:pPr>
        <w:pStyle w:val="Subtitle"/>
        <w:spacing w:line="480" w:lineRule="auto"/>
        <w:jc w:val="center"/>
        <w:rPr>
          <w:rFonts w:ascii="Times New Roman" w:hAnsi="Times New Roman" w:cs="Times New Roman"/>
          <w:sz w:val="24"/>
          <w:szCs w:val="24"/>
        </w:rPr>
      </w:pPr>
    </w:p>
    <w:p w:rsidR="00004A5E" w:rsidRDefault="00074447" w:rsidP="002F38CB">
      <w:pPr>
        <w:pStyle w:val="Subtitle"/>
        <w:spacing w:line="480" w:lineRule="auto"/>
        <w:jc w:val="center"/>
        <w:rPr>
          <w:rFonts w:ascii="Times New Roman" w:hAnsi="Times New Roman" w:cs="Times New Roman"/>
          <w:sz w:val="24"/>
          <w:szCs w:val="24"/>
        </w:rPr>
      </w:pPr>
      <w:r w:rsidRPr="00004A5E">
        <w:rPr>
          <w:rFonts w:ascii="Times New Roman" w:hAnsi="Times New Roman" w:cs="Times New Roman"/>
          <w:sz w:val="24"/>
          <w:szCs w:val="24"/>
        </w:rPr>
        <w:t>By: Wes Kendrick</w:t>
      </w:r>
    </w:p>
    <w:p w:rsidR="00C113D3" w:rsidRPr="00004A5E" w:rsidRDefault="00E27884" w:rsidP="00E27884">
      <w:pPr>
        <w:tabs>
          <w:tab w:val="left" w:pos="2903"/>
        </w:tabs>
        <w:spacing w:line="480" w:lineRule="auto"/>
        <w:ind w:left="1440"/>
        <w:rPr>
          <w:rFonts w:ascii="Times New Roman" w:hAnsi="Times New Roman" w:cs="Times New Roman"/>
          <w:sz w:val="24"/>
          <w:szCs w:val="24"/>
        </w:rPr>
      </w:pPr>
      <w:r w:rsidRPr="00004A5E">
        <w:rPr>
          <w:rFonts w:ascii="Times New Roman" w:hAnsi="Times New Roman" w:cs="Times New Roman"/>
          <w:sz w:val="24"/>
          <w:szCs w:val="24"/>
        </w:rPr>
        <w:tab/>
      </w:r>
    </w:p>
    <w:p w:rsidR="009F106A" w:rsidRPr="00004A5E" w:rsidRDefault="009F106A" w:rsidP="00BE44F2">
      <w:pPr>
        <w:spacing w:line="480" w:lineRule="auto"/>
        <w:rPr>
          <w:rFonts w:ascii="Times New Roman" w:hAnsi="Times New Roman" w:cs="Times New Roman"/>
          <w:sz w:val="24"/>
          <w:szCs w:val="24"/>
        </w:rPr>
      </w:pPr>
    </w:p>
    <w:p w:rsidR="00E058D5" w:rsidRPr="00004A5E" w:rsidRDefault="00317DA2" w:rsidP="00164D4E">
      <w:pPr>
        <w:spacing w:line="480" w:lineRule="auto"/>
        <w:jc w:val="center"/>
        <w:rPr>
          <w:rFonts w:ascii="Times New Roman" w:hAnsi="Times New Roman" w:cs="Times New Roman"/>
          <w:sz w:val="24"/>
          <w:szCs w:val="24"/>
        </w:rPr>
      </w:pPr>
      <w:r w:rsidRPr="00004A5E">
        <w:rPr>
          <w:rFonts w:ascii="Times New Roman" w:hAnsi="Times New Roman" w:cs="Times New Roman"/>
          <w:sz w:val="24"/>
          <w:szCs w:val="24"/>
        </w:rPr>
        <w:t>ABSTRACT:</w:t>
      </w:r>
    </w:p>
    <w:p w:rsidR="00317DA2" w:rsidRPr="00004A5E" w:rsidRDefault="00317DA2" w:rsidP="00BE44F2">
      <w:pPr>
        <w:spacing w:line="480" w:lineRule="auto"/>
        <w:ind w:firstLine="720"/>
        <w:rPr>
          <w:rFonts w:ascii="Times New Roman" w:hAnsi="Times New Roman" w:cs="Times New Roman"/>
          <w:sz w:val="24"/>
          <w:szCs w:val="24"/>
        </w:rPr>
      </w:pPr>
      <w:r w:rsidRPr="00004A5E">
        <w:rPr>
          <w:rFonts w:ascii="Times New Roman" w:hAnsi="Times New Roman" w:cs="Times New Roman"/>
          <w:sz w:val="24"/>
          <w:szCs w:val="24"/>
        </w:rPr>
        <w:t>The paper is concerned with examining the role of internet communications technology in the political process, arguing that the internet has given rise to an unprecedented fluid and decentralized information exchange which, until now, has aided protesters' aims. The paper also argues that, while the balance of power on the internet currently favors the individual over the state, the playing field is already tilting towards government control. The methodology of the paper consists in comparisons between the Occupy, Puerta del Sol, Orange, and Euromaidan protests with earlier protests which took place between 1989 and 1997. The paper then opens a discussion on the current state of the internet, exploring the European “right-to-be-forgotten” and similar European regulation, and discusses American whistleblower Edward Snowden's actions and their European impact.</w:t>
      </w:r>
    </w:p>
    <w:p w:rsidR="00BE44F2" w:rsidRPr="00004A5E" w:rsidRDefault="00BE44F2">
      <w:pPr>
        <w:rPr>
          <w:rFonts w:ascii="Times New Roman" w:eastAsiaTheme="majorEastAsia" w:hAnsi="Times New Roman" w:cs="Times New Roman"/>
          <w:color w:val="2E74B5" w:themeColor="accent1" w:themeShade="BF"/>
          <w:sz w:val="24"/>
          <w:szCs w:val="24"/>
        </w:rPr>
      </w:pPr>
      <w:r w:rsidRPr="00004A5E">
        <w:rPr>
          <w:rFonts w:ascii="Times New Roman" w:hAnsi="Times New Roman" w:cs="Times New Roman"/>
          <w:sz w:val="24"/>
          <w:szCs w:val="24"/>
        </w:rPr>
        <w:br w:type="page"/>
      </w:r>
    </w:p>
    <w:p w:rsidR="003D2377" w:rsidRPr="00004A5E" w:rsidRDefault="00074447" w:rsidP="00004A5E">
      <w:pPr>
        <w:pStyle w:val="Heading1"/>
        <w:jc w:val="center"/>
        <w:rPr>
          <w:rFonts w:ascii="Times New Roman" w:hAnsi="Times New Roman" w:cs="Times New Roman"/>
        </w:rPr>
      </w:pPr>
      <w:r w:rsidRPr="00004A5E">
        <w:rPr>
          <w:rFonts w:ascii="Times New Roman" w:hAnsi="Times New Roman" w:cs="Times New Roman"/>
        </w:rPr>
        <w:t>Introduction</w:t>
      </w:r>
    </w:p>
    <w:p w:rsidR="00C12FB0" w:rsidRPr="00004A5E" w:rsidRDefault="007474A8" w:rsidP="00BE44F2">
      <w:pPr>
        <w:spacing w:line="480" w:lineRule="auto"/>
        <w:ind w:firstLine="720"/>
        <w:rPr>
          <w:rFonts w:ascii="Times New Roman" w:hAnsi="Times New Roman" w:cs="Times New Roman"/>
          <w:sz w:val="24"/>
          <w:szCs w:val="24"/>
        </w:rPr>
      </w:pPr>
      <w:r w:rsidRPr="00004A5E">
        <w:rPr>
          <w:rFonts w:ascii="Times New Roman" w:hAnsi="Times New Roman" w:cs="Times New Roman"/>
          <w:sz w:val="24"/>
          <w:szCs w:val="24"/>
        </w:rPr>
        <w:t>Dissent</w:t>
      </w:r>
      <w:r w:rsidR="005C03CA" w:rsidRPr="00004A5E">
        <w:rPr>
          <w:rFonts w:ascii="Times New Roman" w:hAnsi="Times New Roman" w:cs="Times New Roman"/>
          <w:sz w:val="24"/>
          <w:szCs w:val="24"/>
        </w:rPr>
        <w:t xml:space="preserve"> against</w:t>
      </w:r>
      <w:r w:rsidRPr="00004A5E">
        <w:rPr>
          <w:rFonts w:ascii="Times New Roman" w:hAnsi="Times New Roman" w:cs="Times New Roman"/>
          <w:sz w:val="24"/>
          <w:szCs w:val="24"/>
        </w:rPr>
        <w:t xml:space="preserve"> established</w:t>
      </w:r>
      <w:r w:rsidR="00675E4B" w:rsidRPr="00004A5E">
        <w:rPr>
          <w:rFonts w:ascii="Times New Roman" w:hAnsi="Times New Roman" w:cs="Times New Roman"/>
          <w:sz w:val="24"/>
          <w:szCs w:val="24"/>
        </w:rPr>
        <w:t xml:space="preserve"> authority </w:t>
      </w:r>
      <w:r w:rsidR="00BE05C0" w:rsidRPr="00004A5E">
        <w:rPr>
          <w:rFonts w:ascii="Times New Roman" w:hAnsi="Times New Roman" w:cs="Times New Roman"/>
          <w:sz w:val="24"/>
          <w:szCs w:val="24"/>
        </w:rPr>
        <w:t>is an important process</w:t>
      </w:r>
      <w:r w:rsidR="00301F70" w:rsidRPr="00004A5E">
        <w:rPr>
          <w:rFonts w:ascii="Times New Roman" w:hAnsi="Times New Roman" w:cs="Times New Roman"/>
          <w:sz w:val="24"/>
          <w:szCs w:val="24"/>
        </w:rPr>
        <w:t xml:space="preserve"> of renewal</w:t>
      </w:r>
      <w:r w:rsidR="00BE05C0" w:rsidRPr="00004A5E">
        <w:rPr>
          <w:rFonts w:ascii="Times New Roman" w:hAnsi="Times New Roman" w:cs="Times New Roman"/>
          <w:sz w:val="24"/>
          <w:szCs w:val="24"/>
        </w:rPr>
        <w:t xml:space="preserve"> within</w:t>
      </w:r>
      <w:r w:rsidRPr="00004A5E">
        <w:rPr>
          <w:rFonts w:ascii="Times New Roman" w:hAnsi="Times New Roman" w:cs="Times New Roman"/>
          <w:sz w:val="24"/>
          <w:szCs w:val="24"/>
        </w:rPr>
        <w:t xml:space="preserve"> society. Dissent</w:t>
      </w:r>
      <w:r w:rsidR="00620335" w:rsidRPr="00004A5E">
        <w:rPr>
          <w:rFonts w:ascii="Times New Roman" w:hAnsi="Times New Roman" w:cs="Times New Roman"/>
          <w:sz w:val="24"/>
          <w:szCs w:val="24"/>
        </w:rPr>
        <w:t>, as defined in this paper,</w:t>
      </w:r>
      <w:r w:rsidRPr="00004A5E">
        <w:rPr>
          <w:rFonts w:ascii="Times New Roman" w:hAnsi="Times New Roman" w:cs="Times New Roman"/>
          <w:sz w:val="24"/>
          <w:szCs w:val="24"/>
        </w:rPr>
        <w:t xml:space="preserve"> </w:t>
      </w:r>
      <w:r w:rsidR="00620335" w:rsidRPr="00004A5E">
        <w:rPr>
          <w:rFonts w:ascii="Times New Roman" w:hAnsi="Times New Roman" w:cs="Times New Roman"/>
          <w:sz w:val="24"/>
          <w:szCs w:val="24"/>
        </w:rPr>
        <w:t xml:space="preserve">is the spreading of ideas that deviate from the existing social order. </w:t>
      </w:r>
      <w:r w:rsidR="00BE05C0" w:rsidRPr="00004A5E">
        <w:rPr>
          <w:rFonts w:ascii="Times New Roman" w:hAnsi="Times New Roman" w:cs="Times New Roman"/>
          <w:sz w:val="24"/>
          <w:szCs w:val="24"/>
        </w:rPr>
        <w:t xml:space="preserve">At best, a dissenting voice </w:t>
      </w:r>
      <w:r w:rsidR="00620335" w:rsidRPr="00004A5E">
        <w:rPr>
          <w:rFonts w:ascii="Times New Roman" w:hAnsi="Times New Roman" w:cs="Times New Roman"/>
          <w:sz w:val="24"/>
          <w:szCs w:val="24"/>
        </w:rPr>
        <w:t xml:space="preserve">represents the first step towards positive change. </w:t>
      </w:r>
      <w:r w:rsidR="005440AB" w:rsidRPr="00004A5E">
        <w:rPr>
          <w:rFonts w:ascii="Times New Roman" w:hAnsi="Times New Roman" w:cs="Times New Roman"/>
          <w:sz w:val="24"/>
          <w:szCs w:val="24"/>
        </w:rPr>
        <w:t>A</w:t>
      </w:r>
      <w:r w:rsidR="00BE05C0" w:rsidRPr="00004A5E">
        <w:rPr>
          <w:rFonts w:ascii="Times New Roman" w:hAnsi="Times New Roman" w:cs="Times New Roman"/>
          <w:sz w:val="24"/>
          <w:szCs w:val="24"/>
        </w:rPr>
        <w:t>t worst, dissent can</w:t>
      </w:r>
      <w:r w:rsidR="00620335" w:rsidRPr="00004A5E">
        <w:rPr>
          <w:rFonts w:ascii="Times New Roman" w:hAnsi="Times New Roman" w:cs="Times New Roman"/>
          <w:sz w:val="24"/>
          <w:szCs w:val="24"/>
        </w:rPr>
        <w:t xml:space="preserve"> destabilize existing fair and free democratic institutions</w:t>
      </w:r>
      <w:r w:rsidR="00BE05C0" w:rsidRPr="00004A5E">
        <w:rPr>
          <w:rFonts w:ascii="Times New Roman" w:hAnsi="Times New Roman" w:cs="Times New Roman"/>
          <w:sz w:val="24"/>
          <w:szCs w:val="24"/>
        </w:rPr>
        <w:t xml:space="preserve">. </w:t>
      </w:r>
      <w:r w:rsidR="006F215F" w:rsidRPr="00004A5E">
        <w:rPr>
          <w:rFonts w:ascii="Times New Roman" w:hAnsi="Times New Roman" w:cs="Times New Roman"/>
          <w:sz w:val="24"/>
          <w:szCs w:val="24"/>
        </w:rPr>
        <w:t xml:space="preserve">So, while </w:t>
      </w:r>
      <w:r w:rsidR="00454C39" w:rsidRPr="00004A5E">
        <w:rPr>
          <w:rFonts w:ascii="Times New Roman" w:hAnsi="Times New Roman" w:cs="Times New Roman"/>
          <w:sz w:val="24"/>
          <w:szCs w:val="24"/>
        </w:rPr>
        <w:t xml:space="preserve">dissent can be dangerous, </w:t>
      </w:r>
      <w:r w:rsidR="00C12FB0" w:rsidRPr="00004A5E">
        <w:rPr>
          <w:rFonts w:ascii="Times New Roman" w:hAnsi="Times New Roman" w:cs="Times New Roman"/>
          <w:sz w:val="24"/>
          <w:szCs w:val="24"/>
        </w:rPr>
        <w:t>the right to dissent, to</w:t>
      </w:r>
      <w:r w:rsidR="00A44395" w:rsidRPr="00004A5E">
        <w:rPr>
          <w:rFonts w:ascii="Times New Roman" w:hAnsi="Times New Roman" w:cs="Times New Roman"/>
          <w:sz w:val="24"/>
          <w:szCs w:val="24"/>
        </w:rPr>
        <w:t xml:space="preserve"> openly</w:t>
      </w:r>
      <w:r w:rsidR="00C12FB0" w:rsidRPr="00004A5E">
        <w:rPr>
          <w:rFonts w:ascii="Times New Roman" w:hAnsi="Times New Roman" w:cs="Times New Roman"/>
          <w:sz w:val="24"/>
          <w:szCs w:val="24"/>
        </w:rPr>
        <w:t xml:space="preserve"> speak out against what one perceives to be wrong is an essential </w:t>
      </w:r>
      <w:r w:rsidR="002A4404" w:rsidRPr="00004A5E">
        <w:rPr>
          <w:rFonts w:ascii="Times New Roman" w:hAnsi="Times New Roman" w:cs="Times New Roman"/>
          <w:sz w:val="24"/>
          <w:szCs w:val="24"/>
        </w:rPr>
        <w:t>element of</w:t>
      </w:r>
      <w:r w:rsidR="009A33F3" w:rsidRPr="00004A5E">
        <w:rPr>
          <w:rFonts w:ascii="Times New Roman" w:hAnsi="Times New Roman" w:cs="Times New Roman"/>
          <w:sz w:val="24"/>
          <w:szCs w:val="24"/>
        </w:rPr>
        <w:t xml:space="preserve"> free society.</w:t>
      </w:r>
    </w:p>
    <w:p w:rsidR="00166D14" w:rsidRPr="00004A5E" w:rsidRDefault="00D95779" w:rsidP="004815E1">
      <w:pPr>
        <w:spacing w:line="480" w:lineRule="auto"/>
        <w:ind w:firstLine="720"/>
        <w:rPr>
          <w:rFonts w:ascii="Times New Roman" w:hAnsi="Times New Roman" w:cs="Times New Roman"/>
          <w:sz w:val="24"/>
          <w:szCs w:val="24"/>
        </w:rPr>
      </w:pPr>
      <w:r w:rsidRPr="00004A5E">
        <w:rPr>
          <w:rFonts w:ascii="Times New Roman" w:hAnsi="Times New Roman" w:cs="Times New Roman"/>
          <w:sz w:val="24"/>
          <w:szCs w:val="24"/>
        </w:rPr>
        <w:t xml:space="preserve">The </w:t>
      </w:r>
      <w:r w:rsidR="00C12FB0" w:rsidRPr="00004A5E">
        <w:rPr>
          <w:rFonts w:ascii="Times New Roman" w:hAnsi="Times New Roman" w:cs="Times New Roman"/>
          <w:sz w:val="24"/>
          <w:szCs w:val="24"/>
        </w:rPr>
        <w:t>paper argues that the role of the internet</w:t>
      </w:r>
      <w:r w:rsidR="008D2274" w:rsidRPr="00004A5E">
        <w:rPr>
          <w:rFonts w:ascii="Times New Roman" w:hAnsi="Times New Roman" w:cs="Times New Roman"/>
          <w:sz w:val="24"/>
          <w:szCs w:val="24"/>
        </w:rPr>
        <w:t xml:space="preserve"> in</w:t>
      </w:r>
      <w:r w:rsidR="0007272C" w:rsidRPr="00004A5E">
        <w:rPr>
          <w:rFonts w:ascii="Times New Roman" w:hAnsi="Times New Roman" w:cs="Times New Roman"/>
          <w:sz w:val="24"/>
          <w:szCs w:val="24"/>
        </w:rPr>
        <w:t xml:space="preserve"> </w:t>
      </w:r>
      <w:r w:rsidR="00C12FB0" w:rsidRPr="00004A5E">
        <w:rPr>
          <w:rFonts w:ascii="Times New Roman" w:hAnsi="Times New Roman" w:cs="Times New Roman"/>
          <w:sz w:val="24"/>
          <w:szCs w:val="24"/>
        </w:rPr>
        <w:t>public discourse</w:t>
      </w:r>
      <w:r w:rsidR="002A4404" w:rsidRPr="00004A5E">
        <w:rPr>
          <w:rFonts w:ascii="Times New Roman" w:hAnsi="Times New Roman" w:cs="Times New Roman"/>
          <w:sz w:val="24"/>
          <w:szCs w:val="24"/>
        </w:rPr>
        <w:t xml:space="preserve"> has been growing </w:t>
      </w:r>
      <w:r w:rsidRPr="00004A5E">
        <w:rPr>
          <w:rFonts w:ascii="Times New Roman" w:hAnsi="Times New Roman" w:cs="Times New Roman"/>
          <w:sz w:val="24"/>
          <w:szCs w:val="24"/>
        </w:rPr>
        <w:t>over the past 25 years</w:t>
      </w:r>
      <w:r w:rsidR="0007272C" w:rsidRPr="00004A5E">
        <w:rPr>
          <w:rFonts w:ascii="Times New Roman" w:hAnsi="Times New Roman" w:cs="Times New Roman"/>
          <w:sz w:val="24"/>
          <w:szCs w:val="24"/>
        </w:rPr>
        <w:t>, and</w:t>
      </w:r>
      <w:r w:rsidR="002A4404" w:rsidRPr="00004A5E">
        <w:rPr>
          <w:rFonts w:ascii="Times New Roman" w:hAnsi="Times New Roman" w:cs="Times New Roman"/>
          <w:sz w:val="24"/>
          <w:szCs w:val="24"/>
        </w:rPr>
        <w:t xml:space="preserve"> it</w:t>
      </w:r>
      <w:r w:rsidR="0007272C" w:rsidRPr="00004A5E">
        <w:rPr>
          <w:rFonts w:ascii="Times New Roman" w:hAnsi="Times New Roman" w:cs="Times New Roman"/>
          <w:sz w:val="24"/>
          <w:szCs w:val="24"/>
        </w:rPr>
        <w:t xml:space="preserve"> now plays </w:t>
      </w:r>
      <w:r w:rsidR="00C12FB0" w:rsidRPr="00004A5E">
        <w:rPr>
          <w:rFonts w:ascii="Times New Roman" w:hAnsi="Times New Roman" w:cs="Times New Roman"/>
          <w:sz w:val="24"/>
          <w:szCs w:val="24"/>
        </w:rPr>
        <w:t xml:space="preserve">a fundamental role in the process of dissent. </w:t>
      </w:r>
      <w:r w:rsidR="00883337" w:rsidRPr="00004A5E">
        <w:rPr>
          <w:rFonts w:ascii="Times New Roman" w:hAnsi="Times New Roman" w:cs="Times New Roman"/>
          <w:sz w:val="24"/>
          <w:szCs w:val="24"/>
        </w:rPr>
        <w:t xml:space="preserve">The first section of the paper </w:t>
      </w:r>
      <w:r w:rsidR="004815E1" w:rsidRPr="00004A5E">
        <w:rPr>
          <w:rFonts w:ascii="Times New Roman" w:hAnsi="Times New Roman" w:cs="Times New Roman"/>
          <w:sz w:val="24"/>
          <w:szCs w:val="24"/>
        </w:rPr>
        <w:t xml:space="preserve">focuses on mass </w:t>
      </w:r>
      <w:r w:rsidR="005647FE" w:rsidRPr="00004A5E">
        <w:rPr>
          <w:rFonts w:ascii="Times New Roman" w:hAnsi="Times New Roman" w:cs="Times New Roman"/>
          <w:sz w:val="24"/>
          <w:szCs w:val="24"/>
        </w:rPr>
        <w:t xml:space="preserve">protest </w:t>
      </w:r>
      <w:r w:rsidR="004815E1" w:rsidRPr="00004A5E">
        <w:rPr>
          <w:rFonts w:ascii="Times New Roman" w:hAnsi="Times New Roman" w:cs="Times New Roman"/>
          <w:sz w:val="24"/>
          <w:szCs w:val="24"/>
        </w:rPr>
        <w:t xml:space="preserve">movements. It </w:t>
      </w:r>
      <w:r w:rsidR="00883337" w:rsidRPr="00004A5E">
        <w:rPr>
          <w:rFonts w:ascii="Times New Roman" w:hAnsi="Times New Roman" w:cs="Times New Roman"/>
          <w:sz w:val="24"/>
          <w:szCs w:val="24"/>
        </w:rPr>
        <w:t xml:space="preserve">argues that </w:t>
      </w:r>
      <w:r w:rsidR="005F4AE7" w:rsidRPr="00004A5E">
        <w:rPr>
          <w:rFonts w:ascii="Times New Roman" w:hAnsi="Times New Roman" w:cs="Times New Roman"/>
          <w:sz w:val="24"/>
          <w:szCs w:val="24"/>
        </w:rPr>
        <w:t xml:space="preserve">the horizontal nature of the internet </w:t>
      </w:r>
      <w:r w:rsidR="002A4404" w:rsidRPr="00004A5E">
        <w:rPr>
          <w:rFonts w:ascii="Times New Roman" w:hAnsi="Times New Roman" w:cs="Times New Roman"/>
          <w:sz w:val="24"/>
          <w:szCs w:val="24"/>
        </w:rPr>
        <w:t>has helped protest movements</w:t>
      </w:r>
      <w:r w:rsidR="004815E1" w:rsidRPr="00004A5E">
        <w:rPr>
          <w:rFonts w:ascii="Times New Roman" w:hAnsi="Times New Roman" w:cs="Times New Roman"/>
          <w:sz w:val="24"/>
          <w:szCs w:val="24"/>
        </w:rPr>
        <w:t xml:space="preserve"> </w:t>
      </w:r>
      <w:r w:rsidR="002A4404" w:rsidRPr="00004A5E">
        <w:rPr>
          <w:rFonts w:ascii="Times New Roman" w:hAnsi="Times New Roman" w:cs="Times New Roman"/>
          <w:sz w:val="24"/>
          <w:szCs w:val="24"/>
        </w:rPr>
        <w:t>achieve their aims</w:t>
      </w:r>
      <w:r w:rsidR="005647FE" w:rsidRPr="00004A5E">
        <w:rPr>
          <w:rFonts w:ascii="Times New Roman" w:hAnsi="Times New Roman" w:cs="Times New Roman"/>
          <w:sz w:val="24"/>
          <w:szCs w:val="24"/>
        </w:rPr>
        <w:t>, but also that new suppression technologies available governments threaten to change this dynamic.</w:t>
      </w:r>
      <w:r w:rsidR="00166D14" w:rsidRPr="00004A5E">
        <w:rPr>
          <w:rFonts w:ascii="Times New Roman" w:hAnsi="Times New Roman" w:cs="Times New Roman"/>
          <w:sz w:val="24"/>
          <w:szCs w:val="24"/>
        </w:rPr>
        <w:t xml:space="preserve"> </w:t>
      </w:r>
    </w:p>
    <w:p w:rsidR="005440AB" w:rsidRPr="00004A5E" w:rsidRDefault="00166D14" w:rsidP="00645F11">
      <w:pPr>
        <w:spacing w:line="480" w:lineRule="auto"/>
        <w:ind w:firstLine="720"/>
        <w:rPr>
          <w:rFonts w:ascii="Times New Roman" w:hAnsi="Times New Roman" w:cs="Times New Roman"/>
          <w:sz w:val="24"/>
          <w:szCs w:val="24"/>
        </w:rPr>
      </w:pPr>
      <w:r w:rsidRPr="00004A5E">
        <w:rPr>
          <w:rFonts w:ascii="Times New Roman" w:hAnsi="Times New Roman" w:cs="Times New Roman"/>
          <w:sz w:val="24"/>
          <w:szCs w:val="24"/>
        </w:rPr>
        <w:t>The second section discusses the</w:t>
      </w:r>
      <w:r w:rsidR="005647FE" w:rsidRPr="00004A5E">
        <w:rPr>
          <w:rFonts w:ascii="Times New Roman" w:hAnsi="Times New Roman" w:cs="Times New Roman"/>
          <w:sz w:val="24"/>
          <w:szCs w:val="24"/>
        </w:rPr>
        <w:t xml:space="preserve"> tremendous influence </w:t>
      </w:r>
      <w:r w:rsidR="00645F11" w:rsidRPr="00004A5E">
        <w:rPr>
          <w:rFonts w:ascii="Times New Roman" w:hAnsi="Times New Roman" w:cs="Times New Roman"/>
          <w:sz w:val="24"/>
          <w:szCs w:val="24"/>
        </w:rPr>
        <w:t>governments exert</w:t>
      </w:r>
      <w:r w:rsidR="005647FE" w:rsidRPr="00004A5E">
        <w:rPr>
          <w:rFonts w:ascii="Times New Roman" w:hAnsi="Times New Roman" w:cs="Times New Roman"/>
          <w:sz w:val="24"/>
          <w:szCs w:val="24"/>
        </w:rPr>
        <w:t xml:space="preserve"> on the general tone of discussion and dissent on the internet. In general, EU and US governments do not suppress mass movements directly; instead they intentionally and unintentionally shape the overall </w:t>
      </w:r>
      <w:r w:rsidR="00645F11" w:rsidRPr="00004A5E">
        <w:rPr>
          <w:rFonts w:ascii="Times New Roman" w:hAnsi="Times New Roman" w:cs="Times New Roman"/>
          <w:sz w:val="24"/>
          <w:szCs w:val="24"/>
        </w:rPr>
        <w:t xml:space="preserve">tone of the internet through policies and regulations. </w:t>
      </w:r>
    </w:p>
    <w:p w:rsidR="00645F11" w:rsidRPr="00004A5E" w:rsidRDefault="002F38CB" w:rsidP="00004A5E">
      <w:pPr>
        <w:pStyle w:val="Heading1"/>
        <w:jc w:val="center"/>
        <w:rPr>
          <w:rFonts w:ascii="Times New Roman" w:hAnsi="Times New Roman" w:cs="Times New Roman"/>
        </w:rPr>
      </w:pPr>
      <w:r>
        <w:rPr>
          <w:rFonts w:ascii="Times New Roman" w:hAnsi="Times New Roman" w:cs="Times New Roman"/>
        </w:rPr>
        <w:t>Part I: Protest</w:t>
      </w:r>
    </w:p>
    <w:p w:rsidR="006B0817" w:rsidRPr="00004A5E" w:rsidRDefault="006B0817" w:rsidP="00004A5E">
      <w:pPr>
        <w:pStyle w:val="Heading1"/>
        <w:jc w:val="center"/>
        <w:rPr>
          <w:rFonts w:ascii="Times New Roman" w:hAnsi="Times New Roman" w:cs="Times New Roman"/>
        </w:rPr>
      </w:pPr>
      <w:r w:rsidRPr="00004A5E">
        <w:rPr>
          <w:rFonts w:ascii="Times New Roman" w:hAnsi="Times New Roman" w:cs="Times New Roman"/>
        </w:rPr>
        <w:t>Movement Comparisons</w:t>
      </w:r>
    </w:p>
    <w:p w:rsidR="00500388" w:rsidRPr="00004A5E" w:rsidRDefault="00500388" w:rsidP="00500388">
      <w:pPr>
        <w:spacing w:line="480" w:lineRule="auto"/>
        <w:ind w:firstLine="720"/>
        <w:rPr>
          <w:rFonts w:ascii="Times New Roman" w:hAnsi="Times New Roman" w:cs="Times New Roman"/>
          <w:sz w:val="24"/>
          <w:szCs w:val="24"/>
        </w:rPr>
      </w:pPr>
      <w:r w:rsidRPr="00004A5E">
        <w:rPr>
          <w:rFonts w:ascii="Times New Roman" w:hAnsi="Times New Roman" w:cs="Times New Roman"/>
          <w:sz w:val="24"/>
          <w:szCs w:val="24"/>
        </w:rPr>
        <w:t xml:space="preserve">The past 25 years have seen many mass movements take advantage of the internet to achieve their objectives.  The internet reduces the barriers to communication </w:t>
      </w:r>
      <w:r w:rsidR="007C356F" w:rsidRPr="00004A5E">
        <w:rPr>
          <w:rFonts w:ascii="Times New Roman" w:hAnsi="Times New Roman" w:cs="Times New Roman"/>
          <w:sz w:val="24"/>
          <w:szCs w:val="24"/>
        </w:rPr>
        <w:fldChar w:fldCharType="begin" w:fldLock="1"/>
      </w:r>
      <w:r w:rsidRPr="00004A5E">
        <w:rPr>
          <w:rFonts w:ascii="Times New Roman" w:hAnsi="Times New Roman" w:cs="Times New Roman"/>
          <w:sz w:val="24"/>
          <w:szCs w:val="24"/>
        </w:rPr>
        <w:instrText>ADDIN CSL_CITATION { "citationItems" : [ { "id" : "ITEM-1", "itemData" : { "DOI" : "10.2307/216008", "ISBN" : "0031-3599", "ISSN" : "0016-7428 U6 - ctx_ver=Z39.88-2004&amp;ctx_enc=info%3Aofi%2Fenc%3AUTF-8&amp;rfr_id=info:sid/summon.serialssolutions.com&amp;rft_val_fmt=info:ofi/fmt:kev:mtx:journal&amp;rft.genre=article&amp;rft.atitle=Counterhegemonic+discourses+and+the+Internet&amp;rft.jtitle=Geographical+Revi", "abstract" : "Contrary to much of the hype that posits cyberspace as the uncontested domain of rugged individualists, computer networks and traffic exhibit deeply social and political roots. The Internet is neither inherently oppressive nor automatically emancipatory; it is a terrain of contested philosophies and politics. After a brief review of the politics of electronic knowledge, we discuss the ways in which the Internet can be harnessed for counterhegemonic (antiestablishment) political ends. We focus on progressive uses, including the confrontation of nomadic power and rhizomic power structures, in which the local becomes the global. We also offer an encapsulation of right-wing uses. Throughout, we see cyberactivism as a necessary, but not sufficient, complement to real-world struggles on behalf of the disempowered.", "author" : [ { "dropping-particle" : "", "family" : "Warf", "given" : "Barney", "non-dropping-particle" : "", "parse-names" : false, "suffix" : "" }, { "dropping-particle" : "", "family" : "Grimes", "given" : "John", "non-dropping-particle" : "", "parse-names" : false, "suffix" : "" } ], "container-title" : "Geographical Review", "id" : "ITEM-1", "issue" : "2", "issued" : { "date-parts" : [ [ "1997" ] ] }, "page" : "259-274", "title" : "Counterhegemonic Discourses and the Internet", "type" : "article-journal", "volume" : "87" }, "uris" : [ "http://www.mendeley.com/documents/?uuid=dab7b16d-ce8b-4ffa-903d-2da06e03f0d5" ] } ], "mendeley" : { "formattedCitation" : "(Warf &amp; Grimes, 1997)", "plainTextFormattedCitation" : "(Warf &amp; Grimes, 1997)", "previouslyFormattedCitation" : "(Warf &amp; Grimes, 1997)" }, "properties" : { "noteIndex" : 0 }, "schema" : "https://github.com/citation-style-language/schema/raw/master/csl-citation.json" }</w:instrText>
      </w:r>
      <w:r w:rsidR="007C356F" w:rsidRPr="00004A5E">
        <w:rPr>
          <w:rFonts w:ascii="Times New Roman" w:hAnsi="Times New Roman" w:cs="Times New Roman"/>
          <w:sz w:val="24"/>
          <w:szCs w:val="24"/>
        </w:rPr>
        <w:fldChar w:fldCharType="separate"/>
      </w:r>
      <w:r w:rsidRPr="00004A5E">
        <w:rPr>
          <w:rFonts w:ascii="Times New Roman" w:hAnsi="Times New Roman" w:cs="Times New Roman"/>
          <w:noProof/>
          <w:sz w:val="24"/>
          <w:szCs w:val="24"/>
        </w:rPr>
        <w:t>(Warf &amp; Grimes, 1997)</w:t>
      </w:r>
      <w:r w:rsidR="007C356F" w:rsidRPr="00004A5E">
        <w:rPr>
          <w:rFonts w:ascii="Times New Roman" w:hAnsi="Times New Roman" w:cs="Times New Roman"/>
          <w:sz w:val="24"/>
          <w:szCs w:val="24"/>
        </w:rPr>
        <w:fldChar w:fldCharType="end"/>
      </w:r>
      <w:r w:rsidRPr="00004A5E">
        <w:rPr>
          <w:rFonts w:ascii="Times New Roman" w:hAnsi="Times New Roman" w:cs="Times New Roman"/>
          <w:sz w:val="24"/>
          <w:szCs w:val="24"/>
        </w:rPr>
        <w:t xml:space="preserve"> and in doing so changes how movements develop. Manuel Castells, in his influential 2009 book </w:t>
      </w:r>
      <w:r w:rsidRPr="00004A5E">
        <w:rPr>
          <w:rFonts w:ascii="Times New Roman" w:hAnsi="Times New Roman" w:cs="Times New Roman"/>
          <w:i/>
          <w:sz w:val="24"/>
          <w:szCs w:val="24"/>
        </w:rPr>
        <w:t xml:space="preserve">Communication Power, </w:t>
      </w:r>
      <w:r w:rsidRPr="00004A5E">
        <w:rPr>
          <w:rFonts w:ascii="Times New Roman" w:hAnsi="Times New Roman" w:cs="Times New Roman"/>
          <w:sz w:val="24"/>
          <w:szCs w:val="24"/>
        </w:rPr>
        <w:t>developed the notion that flatter, more horizontal movement power structures are finally feasible because the internet has dropped the cost of communication to nearly zero. Before the internet, only top-down organizations possessed the organizational capacity necessary to communicate effectively across long distances. The anti-global, Orange, Euromaydan, M15, and Occupy movements have benefited from this new power dynamic.</w:t>
      </w:r>
    </w:p>
    <w:p w:rsidR="00500388" w:rsidRPr="00004A5E" w:rsidRDefault="00500388" w:rsidP="00500388">
      <w:pPr>
        <w:spacing w:line="480" w:lineRule="auto"/>
        <w:ind w:firstLine="720"/>
        <w:rPr>
          <w:rFonts w:ascii="Times New Roman" w:hAnsi="Times New Roman" w:cs="Times New Roman"/>
          <w:sz w:val="24"/>
          <w:szCs w:val="24"/>
        </w:rPr>
      </w:pPr>
      <w:r w:rsidRPr="00004A5E">
        <w:rPr>
          <w:rFonts w:ascii="Times New Roman" w:hAnsi="Times New Roman" w:cs="Times New Roman"/>
          <w:sz w:val="24"/>
          <w:szCs w:val="24"/>
        </w:rPr>
        <w:t xml:space="preserve">The anti-global movement emerged in the late 90’s and is one of the first movements to take advantage of internet connectivity – albeit in a limited fashion. Unhappy with the undemocratic influence wielded by the global financial industry and international decision-making bodies like the G8, </w:t>
      </w:r>
      <w:r w:rsidR="00CF1651">
        <w:rPr>
          <w:rFonts w:ascii="Times New Roman" w:hAnsi="Times New Roman" w:cs="Times New Roman"/>
          <w:sz w:val="24"/>
          <w:szCs w:val="24"/>
        </w:rPr>
        <w:t>protesters took to the streets. T</w:t>
      </w:r>
      <w:r w:rsidRPr="00004A5E">
        <w:rPr>
          <w:rFonts w:ascii="Times New Roman" w:hAnsi="Times New Roman" w:cs="Times New Roman"/>
          <w:sz w:val="24"/>
          <w:szCs w:val="24"/>
        </w:rPr>
        <w:t xml:space="preserve">he famous 1999 Battle of Seattle pitted protesters against the World Trade Organization. Movement organizers used mobile phones to relocate as police positions evolved. And during the 2001 G8 protests in Genoa, organizers sent street maps to activists ahead of time to facilitate organization </w:t>
      </w:r>
      <w:r w:rsidR="007C356F" w:rsidRPr="00004A5E">
        <w:rPr>
          <w:rFonts w:ascii="Times New Roman" w:hAnsi="Times New Roman" w:cs="Times New Roman"/>
          <w:sz w:val="24"/>
          <w:szCs w:val="24"/>
        </w:rPr>
        <w:fldChar w:fldCharType="begin" w:fldLock="1"/>
      </w:r>
      <w:r w:rsidRPr="00004A5E">
        <w:rPr>
          <w:rFonts w:ascii="Times New Roman" w:hAnsi="Times New Roman" w:cs="Times New Roman"/>
          <w:sz w:val="24"/>
          <w:szCs w:val="24"/>
        </w:rPr>
        <w:instrText>ADDIN CSL_CITATION { "citationItems" : [ { "id" : "ITEM-1", "itemData" : { "DOI" : "10.1080/13691181003628307", "ISBN" : "1369-118X", "ISSN" : "1369-118X", "abstract" : "The Zapatista uprising, which started in 1994, and the \u2018Battle of Seattle\u2019 in 1999 are but two iconic examples that are so often used to illustrate how the internet has shaped and is shaping social movements and the tactics they use to pursue their claims. In this article, the authors present the \u2018state-of-the-art\u2019 literature on action repertoires of social movements in an internet age. The article builds a strong case in favour of the internet as it has given social movements new and improved opportunities to engage in social and political action. At the same time, a na\u00efve internet-optimism is avoided, by pointing out several limitations. There is the \u2018classical\u2019 problem of digital divide. In some cases, the internet has made collective action still not easy enough, while in others it has made it perhaps too easy reducing the final political impact of a certain action. In addition, it seems that the new media are loosing their newness quickly, and more fundamentally are unable to create stable ties between activists that are necessary for sustained collective action. With the internet, social movements have not become a more powerful force in society. But, as political and economical power has gradually moved to the international level, the internet has enabled social movements to follow that transition and operate more globally.", "author" : [ { "dropping-particle" : "", "family" : "Laer", "given" : "Jeroen", "non-dropping-particle" : "Van", "parse-names" : false, "suffix" : "" }, { "dropping-particle" : "", "family" : "Aelst", "given" : "Peter", "non-dropping-particle" : "Van", "parse-names" : false, "suffix" : "" } ], "container-title" : "Information, Communication &amp; Society", "id" : "ITEM-1", "issue" : "8", "issued" : { "date-parts" : [ [ "2010" ] ] }, "page" : "1146-1171", "title" : "Internet and Social Movement Action Repertoires", "type" : "article-journal", "volume" : "13" }, "uris" : [ "http://www.mendeley.com/documents/?uuid=df78df32-5aae-49c4-ba33-3294f65f9044" ] } ], "mendeley" : { "formattedCitation" : "(Van Laer &amp; Van Aelst, 2010)", "plainTextFormattedCitation" : "(Van Laer &amp; Van Aelst, 2010)", "previouslyFormattedCitation" : "(Van Laer &amp; Van Aelst, 2010)" }, "properties" : { "noteIndex" : 0 }, "schema" : "https://github.com/citation-style-language/schema/raw/master/csl-citation.json" }</w:instrText>
      </w:r>
      <w:r w:rsidR="007C356F" w:rsidRPr="00004A5E">
        <w:rPr>
          <w:rFonts w:ascii="Times New Roman" w:hAnsi="Times New Roman" w:cs="Times New Roman"/>
          <w:sz w:val="24"/>
          <w:szCs w:val="24"/>
        </w:rPr>
        <w:fldChar w:fldCharType="separate"/>
      </w:r>
      <w:r w:rsidRPr="00004A5E">
        <w:rPr>
          <w:rFonts w:ascii="Times New Roman" w:hAnsi="Times New Roman" w:cs="Times New Roman"/>
          <w:noProof/>
          <w:sz w:val="24"/>
          <w:szCs w:val="24"/>
        </w:rPr>
        <w:t>(Van Laer &amp; Van Aelst, 2010)</w:t>
      </w:r>
      <w:r w:rsidR="007C356F" w:rsidRPr="00004A5E">
        <w:rPr>
          <w:rFonts w:ascii="Times New Roman" w:hAnsi="Times New Roman" w:cs="Times New Roman"/>
          <w:sz w:val="24"/>
          <w:szCs w:val="24"/>
        </w:rPr>
        <w:fldChar w:fldCharType="end"/>
      </w:r>
      <w:r w:rsidRPr="00004A5E">
        <w:rPr>
          <w:rFonts w:ascii="Times New Roman" w:hAnsi="Times New Roman" w:cs="Times New Roman"/>
          <w:sz w:val="24"/>
          <w:szCs w:val="24"/>
        </w:rPr>
        <w:t xml:space="preserve">. The internet did not play a major role because at that time the internet was not very functional. </w:t>
      </w:r>
      <w:r w:rsidR="00CF1651">
        <w:rPr>
          <w:rFonts w:ascii="Times New Roman" w:hAnsi="Times New Roman" w:cs="Times New Roman"/>
          <w:sz w:val="24"/>
          <w:szCs w:val="24"/>
        </w:rPr>
        <w:t>Connecting</w:t>
      </w:r>
      <w:r w:rsidRPr="00004A5E">
        <w:rPr>
          <w:rFonts w:ascii="Times New Roman" w:hAnsi="Times New Roman" w:cs="Times New Roman"/>
          <w:sz w:val="24"/>
          <w:szCs w:val="24"/>
        </w:rPr>
        <w:t xml:space="preserve"> to the internet meant going to a desktop computer, not pulling out a phone, so it could only be used during pre-movement coordination. </w:t>
      </w:r>
    </w:p>
    <w:p w:rsidR="00500388" w:rsidRPr="00004A5E" w:rsidRDefault="00500388" w:rsidP="00500388">
      <w:pPr>
        <w:spacing w:line="480" w:lineRule="auto"/>
        <w:ind w:firstLine="720"/>
        <w:rPr>
          <w:rFonts w:ascii="Times New Roman" w:hAnsi="Times New Roman" w:cs="Times New Roman"/>
          <w:sz w:val="24"/>
          <w:szCs w:val="24"/>
        </w:rPr>
      </w:pPr>
      <w:r w:rsidRPr="00004A5E">
        <w:rPr>
          <w:rFonts w:ascii="Times New Roman" w:hAnsi="Times New Roman" w:cs="Times New Roman"/>
          <w:sz w:val="24"/>
          <w:szCs w:val="24"/>
        </w:rPr>
        <w:t xml:space="preserve">November of 2004 marked the Orange Revolution. After election fraud in the Yanukovych vs. Yuschenko election, the electorate mobilized with a peaceful sit-in, forced a third round of elections (which this time were fair), and elected Yuschenko instead of perpetuating the current regime. Aside from the influential Channel 5 television news, which refused to self-censor, the traditional media kept quiet. The outspoken voices in this campaign were based online, in media initiatives founded in the early 2000’s such as Pravda, and through activist organizations including Maidan and Pora. </w:t>
      </w:r>
      <w:r w:rsidR="007C356F" w:rsidRPr="00004A5E">
        <w:rPr>
          <w:rFonts w:ascii="Times New Roman" w:hAnsi="Times New Roman" w:cs="Times New Roman"/>
          <w:sz w:val="24"/>
          <w:szCs w:val="24"/>
        </w:rPr>
        <w:fldChar w:fldCharType="begin" w:fldLock="1"/>
      </w:r>
      <w:r w:rsidRPr="00004A5E">
        <w:rPr>
          <w:rFonts w:ascii="Times New Roman" w:hAnsi="Times New Roman" w:cs="Times New Roman"/>
          <w:sz w:val="24"/>
          <w:szCs w:val="24"/>
        </w:rPr>
        <w:instrText>ADDIN CSL_CITATION { "citationItems" : [ { "id" : "ITEM-1", "itemData" : { "DOI" : "10.2307/2944858", "ISSN" : "1556-5068", "abstract" : "This working paper is part of a series examining how the Internet influences democracy. This report is a narrative case study that examines the role of the Internet and mobile phones during Ukraine's 2004 Orange Revolution. The first section describes the online citizen journalists who reported many stories left untouched by self censored mainstream journalists. The second section investigates the use of digital networked technologies by pro-democracy organizers. This case study concludes with the statement that the Internet and mobile phones made a wide range of activities easier, however the Orange Revolution was largely made possible by savvy activists and journalists willing to take risks to improve their country.", "author" : [ { "dropping-particle" : "", "family" : "Goldstein", "given" : "Joshua", "non-dropping-particle" : "", "parse-names" : false, "suffix" : "" } ], "container-title" : "American Political Science Review", "id" : "ITEM-1", "issue" : "3", "issued" : { "date-parts" : [ [ "2007" ] ] }, "page" : "790", "title" : "The Role of Digital Networked Technologies in the Ukrainian Orange Revolution", "type" : "article-journal", "volume" : "7641" }, "uris" : [ "http://www.mendeley.com/documents/?uuid=ee8348cf-5cdd-46d8-976b-72d09eafd625" ] } ], "mendeley" : { "formattedCitation" : "(Goldstein, 2007)", "plainTextFormattedCitation" : "(Goldstein, 2007)", "previouslyFormattedCitation" : "(Goldstein, 2007)" }, "properties" : { "noteIndex" : 0 }, "schema" : "https://github.com/citation-style-language/schema/raw/master/csl-citation.json" }</w:instrText>
      </w:r>
      <w:r w:rsidR="007C356F" w:rsidRPr="00004A5E">
        <w:rPr>
          <w:rFonts w:ascii="Times New Roman" w:hAnsi="Times New Roman" w:cs="Times New Roman"/>
          <w:sz w:val="24"/>
          <w:szCs w:val="24"/>
        </w:rPr>
        <w:fldChar w:fldCharType="separate"/>
      </w:r>
      <w:r w:rsidRPr="00004A5E">
        <w:rPr>
          <w:rFonts w:ascii="Times New Roman" w:hAnsi="Times New Roman" w:cs="Times New Roman"/>
          <w:noProof/>
          <w:sz w:val="24"/>
          <w:szCs w:val="24"/>
        </w:rPr>
        <w:t>(Goldstein, 2007)</w:t>
      </w:r>
      <w:r w:rsidR="007C356F" w:rsidRPr="00004A5E">
        <w:rPr>
          <w:rFonts w:ascii="Times New Roman" w:hAnsi="Times New Roman" w:cs="Times New Roman"/>
          <w:sz w:val="24"/>
          <w:szCs w:val="24"/>
        </w:rPr>
        <w:fldChar w:fldCharType="end"/>
      </w:r>
      <w:r w:rsidRPr="00004A5E">
        <w:rPr>
          <w:rFonts w:ascii="Times New Roman" w:hAnsi="Times New Roman" w:cs="Times New Roman"/>
          <w:sz w:val="24"/>
          <w:szCs w:val="24"/>
        </w:rPr>
        <w:t xml:space="preserve">. </w:t>
      </w:r>
    </w:p>
    <w:p w:rsidR="00500388" w:rsidRDefault="00500388" w:rsidP="00500388">
      <w:pPr>
        <w:spacing w:line="480" w:lineRule="auto"/>
        <w:ind w:firstLine="720"/>
        <w:rPr>
          <w:rFonts w:ascii="Times New Roman" w:hAnsi="Times New Roman" w:cs="Times New Roman"/>
          <w:sz w:val="24"/>
          <w:szCs w:val="24"/>
        </w:rPr>
      </w:pPr>
      <w:r w:rsidRPr="00004A5E">
        <w:rPr>
          <w:rFonts w:ascii="Times New Roman" w:hAnsi="Times New Roman" w:cs="Times New Roman"/>
          <w:sz w:val="24"/>
          <w:szCs w:val="24"/>
        </w:rPr>
        <w:t xml:space="preserve">The 2011 M15 and Occupy were loosely defined anti-capitalist media movements. The biggest technological shift between this movement and </w:t>
      </w:r>
      <w:r w:rsidR="00960A17">
        <w:rPr>
          <w:rFonts w:ascii="Times New Roman" w:hAnsi="Times New Roman" w:cs="Times New Roman"/>
          <w:sz w:val="24"/>
          <w:szCs w:val="24"/>
        </w:rPr>
        <w:t xml:space="preserve">those before was the </w:t>
      </w:r>
      <w:r w:rsidRPr="00004A5E">
        <w:rPr>
          <w:rFonts w:ascii="Times New Roman" w:hAnsi="Times New Roman" w:cs="Times New Roman"/>
          <w:sz w:val="24"/>
          <w:szCs w:val="24"/>
        </w:rPr>
        <w:t xml:space="preserve">diffusion of smartphones across Europe and the United States </w:t>
      </w:r>
      <w:r w:rsidR="007C356F" w:rsidRPr="00004A5E">
        <w:rPr>
          <w:rFonts w:ascii="Times New Roman" w:hAnsi="Times New Roman" w:cs="Times New Roman"/>
          <w:sz w:val="24"/>
          <w:szCs w:val="24"/>
        </w:rPr>
        <w:fldChar w:fldCharType="begin" w:fldLock="1"/>
      </w:r>
      <w:r w:rsidRPr="00004A5E">
        <w:rPr>
          <w:rFonts w:ascii="Times New Roman" w:hAnsi="Times New Roman" w:cs="Times New Roman"/>
          <w:sz w:val="24"/>
          <w:szCs w:val="24"/>
        </w:rPr>
        <w:instrText>ADDIN CSL_CITATION { "citationItems" : [ { "id" : "ITEM-1", "itemData" : { "ISBN" : "978-0-203-43483-3", "author" : [ { "dropping-particle" : "", "family" : "Monterde", "given" : "Arnau", "non-dropping-particle" : "", "parse-names" : false, "suffix" : "" }, { "dropping-particle" : "", "family" : "Postill", "given" : "John", "non-dropping-particle" : "", "parse-names" : false, "suffix" : "" } ], "container-title" : "Routledge Companion to Mobile Media", "editor" : [ { "dropping-particle" : "", "family" : "Goggin", "given" : "G", "non-dropping-particle" : "", "parse-names" : false, "suffix" : "" }, { "dropping-particle" : "", "family" : "Hjorth", "given" : "L", "non-dropping-particle" : "", "parse-names" : false, "suffix" : "" } ], "id" : "ITEM-1", "issued" : { "date-parts" : [ [ "2013" ] ] }, "page" : "1-17", "title" : "Mobile Ensembles: The Uses of Mobile Phones for Social Protest by Spain's Indignados", "type" : "chapter" }, "uris" : [ "http://www.mendeley.com/documents/?uuid=eee96bb9-7918-4b22-9530-8fc985776a27" ] }, { "id" : "ITEM-2", "itemData" : { "DOI" : "10.1080/14742837.2012.710746", "ISBN" : "1474-2837", "ISSN" : "1474-2837", "abstract" : "Scholars and activists have hotly debated the relationship between social media and social movement activity during the current global cycle of protest. This article investigates media practices in the Occupy movement and develops the concept of social movement media cultures: the set of tools, skills, social practices and norms that movement participants deploy to create, circulate, curate and amplify movement media across all available platforms. The article posits three key areas of inquiry into social movement media cultures, and explores them through the lens of the Occupy movement: (1) What media platforms, tools and skills are used most widely by movement participants? (Practices); (2) What role do experienced practitioners play in movement media practices? (Expertise); and (3) In what ways does the movement media culture lean toward open or participatory, and in what ways toward closed or top\u2013down? (Open/Closed). Insight into the media culture of the Occupy movement is based on mixed qualitative and quantitative methods, including semi-structured interviews, participant observation, visual research and participation in Occupy Hackathons, as well as the Occupy Research General Demographic and Political Participation Survey, a database of approximately 1200 local Occupy sites, and a dataset of more than 13 million Occupy-related tweets. The findings will be of interest to both scholars and movement participants.", "author" : [ { "dropping-particle" : "", "family" : "Costanza-Chock", "given" : "Sasha", "non-dropping-particle" : "", "parse-names" : false, "suffix" : "" } ], "container-title" : "Social Movement Studies", "id" : "ITEM-2", "issue" : "3-4", "issued" : { "date-parts" : [ [ "2012" ] ] }, "page" : "375-385", "title" : "Mic Check! Media Cultures and the Occupy Movement", "type" : "article-journal", "volume" : "11" }, "uris" : [ "http://www.mendeley.com/documents/?uuid=d854ec3b-712a-49ce-9f3e-391da14121f0" ] } ], "mendeley" : { "formattedCitation" : "(Costanza-Chock, 2012; Monterde &amp; Postill, 2013)", "plainTextFormattedCitation" : "(Costanza-Chock, 2012; Monterde &amp; Postill, 2013)", "previouslyFormattedCitation" : "(Costanza-Chock, 2012; Monterde &amp; Postill, 2013)" }, "properties" : { "noteIndex" : 0 }, "schema" : "https://github.com/citation-style-language/schema/raw/master/csl-citation.json" }</w:instrText>
      </w:r>
      <w:r w:rsidR="007C356F" w:rsidRPr="00004A5E">
        <w:rPr>
          <w:rFonts w:ascii="Times New Roman" w:hAnsi="Times New Roman" w:cs="Times New Roman"/>
          <w:sz w:val="24"/>
          <w:szCs w:val="24"/>
        </w:rPr>
        <w:fldChar w:fldCharType="separate"/>
      </w:r>
      <w:r w:rsidRPr="00004A5E">
        <w:rPr>
          <w:rFonts w:ascii="Times New Roman" w:hAnsi="Times New Roman" w:cs="Times New Roman"/>
          <w:noProof/>
          <w:sz w:val="24"/>
          <w:szCs w:val="24"/>
        </w:rPr>
        <w:t>(Costanza-Chock, 2012; Monterde &amp; Postill, 2013)</w:t>
      </w:r>
      <w:r w:rsidR="007C356F" w:rsidRPr="00004A5E">
        <w:rPr>
          <w:rFonts w:ascii="Times New Roman" w:hAnsi="Times New Roman" w:cs="Times New Roman"/>
          <w:sz w:val="24"/>
          <w:szCs w:val="24"/>
        </w:rPr>
        <w:fldChar w:fldCharType="end"/>
      </w:r>
      <w:r w:rsidRPr="00004A5E">
        <w:rPr>
          <w:rFonts w:ascii="Times New Roman" w:hAnsi="Times New Roman" w:cs="Times New Roman"/>
          <w:sz w:val="24"/>
          <w:szCs w:val="24"/>
        </w:rPr>
        <w:t xml:space="preserve">. This technology facilitated not only pre-movement planning and organization, but also meant that the internet remained accessible during protest actions. </w:t>
      </w:r>
    </w:p>
    <w:p w:rsidR="0094701A" w:rsidRPr="00004A5E" w:rsidRDefault="0094701A" w:rsidP="0094701A">
      <w:pPr>
        <w:spacing w:line="480" w:lineRule="auto"/>
        <w:ind w:firstLine="720"/>
        <w:rPr>
          <w:rFonts w:ascii="Times New Roman" w:hAnsi="Times New Roman" w:cs="Times New Roman"/>
          <w:sz w:val="24"/>
          <w:szCs w:val="24"/>
        </w:rPr>
      </w:pPr>
      <w:r w:rsidRPr="00004A5E">
        <w:rPr>
          <w:rFonts w:ascii="Times New Roman" w:hAnsi="Times New Roman" w:cs="Times New Roman"/>
          <w:sz w:val="24"/>
          <w:szCs w:val="24"/>
        </w:rPr>
        <w:t xml:space="preserve">The 2011 Spanish Puerta del Sol movement (also known as 15M) </w:t>
      </w:r>
      <w:r>
        <w:rPr>
          <w:rFonts w:ascii="Times New Roman" w:hAnsi="Times New Roman" w:cs="Times New Roman"/>
          <w:sz w:val="24"/>
          <w:szCs w:val="24"/>
        </w:rPr>
        <w:t>began o</w:t>
      </w:r>
      <w:r w:rsidRPr="00004A5E">
        <w:rPr>
          <w:rFonts w:ascii="Times New Roman" w:hAnsi="Times New Roman" w:cs="Times New Roman"/>
          <w:sz w:val="24"/>
          <w:szCs w:val="24"/>
        </w:rPr>
        <w:t>n the night of May 15, 2011,</w:t>
      </w:r>
      <w:r>
        <w:rPr>
          <w:rFonts w:ascii="Times New Roman" w:hAnsi="Times New Roman" w:cs="Times New Roman"/>
          <w:sz w:val="24"/>
          <w:szCs w:val="24"/>
        </w:rPr>
        <w:t xml:space="preserve"> when</w:t>
      </w:r>
      <w:r w:rsidRPr="00004A5E">
        <w:rPr>
          <w:rFonts w:ascii="Times New Roman" w:hAnsi="Times New Roman" w:cs="Times New Roman"/>
          <w:sz w:val="24"/>
          <w:szCs w:val="24"/>
        </w:rPr>
        <w:t xml:space="preserve"> a group of protesters angry about the high unemployment, weak economy, and rising inequality in Spain decided to camp out overnight in the Puerta del Sol square </w:t>
      </w:r>
      <w:r w:rsidR="007C356F" w:rsidRPr="00004A5E">
        <w:rPr>
          <w:rFonts w:ascii="Times New Roman" w:hAnsi="Times New Roman" w:cs="Times New Roman"/>
          <w:sz w:val="24"/>
          <w:szCs w:val="24"/>
        </w:rPr>
        <w:fldChar w:fldCharType="begin" w:fldLock="1"/>
      </w:r>
      <w:r w:rsidRPr="00004A5E">
        <w:rPr>
          <w:rFonts w:ascii="Times New Roman" w:hAnsi="Times New Roman" w:cs="Times New Roman"/>
          <w:sz w:val="24"/>
          <w:szCs w:val="24"/>
        </w:rPr>
        <w:instrText>ADDIN CSL_CITATION { "citationItems" : [ { "id" : "ITEM-1", "itemData" : { "DOI" : "10.1080/1369118X.2013.808360", "ISSN" : "1369-118X", "abstract" : "The 15M demonstration (the origin of the indignados movement in Spain and the seed of the occupy mobilizations) presents some outstanding characteristics that defy the established principles of the collective action paradigm. This article develops some observable implications of the concept of connective action and tests them against the case of the 15M demonstration. Cases of self-organized connective action networks are expected to be different from traditional collective action cases with regard to the characteristics of the organizations involved, the prevalent mobilization channels and the characteristics of participants. Based on a comparative analysis of data gathered from participants and organizations in nine demonstrations held in Spain between 2010 and 2011, relevant and significant differences were found in the characteristics of the 15M staging organizations (recently created, without formal membership and mainly online presence), the main mobilization channels (personal contact and online social networks rather than co-members or broadcast media), and participants (younger, more educated and less politically involved). These findings help to understand the large turnout figures of this movement and have important implications for the mobilization potential of social networks, particularly as it can affect the political participation of the less-involved citizens.\\nThe 15M demonstration (the origin of the indignados movement in Spain and the seed of the occupy mobilizations) presents some outstanding characteristics that defy the established principles of the collective action paradigm. This article develops some observable implications of the concept of connective action and tests them against the case of the 15M demonstration. Cases of self-organized connective action networks are expected to be different from traditional collective action cases with regard to the characteristics of the organizations involved, the prevalent mobilization channels and the characteristics of participants. Based on a comparative analysis of data gathered from participants and organizations in nine demonstrations held in Spain between 2010 and 2011, relevant and significant differences were found in the characteristics of the 15M staging organizations (recently created, without formal membership and mainly online presence), the main mobilization channels (personal contact and online social networks rather than co-members or broadcast media), and participants (\u2026", "author" : [ { "dropping-particle" : "", "family" : "Anduiza", "given" : "Eva", "non-dropping-particle" : "", "parse-names" : false, "suffix" : "" }, { "dropping-particle" : "", "family" : "Cristancho", "given" : "Camilo", "non-dropping-particle" : "", "parse-names" : false, "suffix" : "" }, { "dropping-particle" : "", "family" : "Sabucedo", "given" : "Jos\u00e9 M.", "non-dropping-particle" : "", "parse-names" : false, "suffix" : "" } ], "container-title" : "Information, Communication &amp; Society", "id" : "ITEM-1", "issue" : "January 2014", "issued" : { "date-parts" : [ [ "2013" ] ] }, "page" : "1-15", "title" : "Mobilization through online social networks: the political protest of the indignados in Spain", "type" : "article-journal" }, "uris" : [ "http://www.mendeley.com/documents/?uuid=1ebcd361-81b0-4da4-b189-586e3bc42abc" ] } ], "mendeley" : { "formattedCitation" : "(Anduiza, Cristancho, &amp; Sabucedo, 2013)", "plainTextFormattedCitation" : "(Anduiza, Cristancho, &amp; Sabucedo, 2013)", "previouslyFormattedCitation" : "(Anduiza, Cristancho, &amp; Sabucedo, 2013)" }, "properties" : { "noteIndex" : 0 }, "schema" : "https://github.com/citation-style-language/schema/raw/master/csl-citation.json" }</w:instrText>
      </w:r>
      <w:r w:rsidR="007C356F" w:rsidRPr="00004A5E">
        <w:rPr>
          <w:rFonts w:ascii="Times New Roman" w:hAnsi="Times New Roman" w:cs="Times New Roman"/>
          <w:sz w:val="24"/>
          <w:szCs w:val="24"/>
        </w:rPr>
        <w:fldChar w:fldCharType="separate"/>
      </w:r>
      <w:r w:rsidRPr="00004A5E">
        <w:rPr>
          <w:rFonts w:ascii="Times New Roman" w:hAnsi="Times New Roman" w:cs="Times New Roman"/>
          <w:noProof/>
          <w:sz w:val="24"/>
          <w:szCs w:val="24"/>
        </w:rPr>
        <w:t>(Anduiza, Cristancho, &amp; Sabucedo, 2013)</w:t>
      </w:r>
      <w:r w:rsidR="007C356F" w:rsidRPr="00004A5E">
        <w:rPr>
          <w:rFonts w:ascii="Times New Roman" w:hAnsi="Times New Roman" w:cs="Times New Roman"/>
          <w:sz w:val="24"/>
          <w:szCs w:val="24"/>
        </w:rPr>
        <w:fldChar w:fldCharType="end"/>
      </w:r>
      <w:r w:rsidRPr="00004A5E">
        <w:rPr>
          <w:rFonts w:ascii="Times New Roman" w:hAnsi="Times New Roman" w:cs="Times New Roman"/>
          <w:sz w:val="24"/>
          <w:szCs w:val="24"/>
        </w:rPr>
        <w:t xml:space="preserve">. </w:t>
      </w:r>
      <w:r w:rsidR="00CF1651">
        <w:rPr>
          <w:rFonts w:ascii="Times New Roman" w:hAnsi="Times New Roman" w:cs="Times New Roman"/>
          <w:sz w:val="24"/>
          <w:szCs w:val="24"/>
        </w:rPr>
        <w:t>After a forceful eviction, t</w:t>
      </w:r>
      <w:r w:rsidRPr="00004A5E">
        <w:rPr>
          <w:rFonts w:ascii="Times New Roman" w:hAnsi="Times New Roman" w:cs="Times New Roman"/>
          <w:sz w:val="24"/>
          <w:szCs w:val="24"/>
        </w:rPr>
        <w:t xml:space="preserve">hose involved spread the news quickly via social media and email lists, and by the afternoon of May 17, the movement had exploded. Over the course of the subsequent months, 15M demonstrated a sophisticated understanding of modern media, distributing videos, photos, </w:t>
      </w:r>
      <w:r w:rsidR="00960A17">
        <w:rPr>
          <w:rFonts w:ascii="Times New Roman" w:hAnsi="Times New Roman" w:cs="Times New Roman"/>
          <w:sz w:val="24"/>
          <w:szCs w:val="24"/>
        </w:rPr>
        <w:t xml:space="preserve">and </w:t>
      </w:r>
      <w:r w:rsidRPr="00004A5E">
        <w:rPr>
          <w:rFonts w:ascii="Times New Roman" w:hAnsi="Times New Roman" w:cs="Times New Roman"/>
          <w:sz w:val="24"/>
          <w:szCs w:val="24"/>
        </w:rPr>
        <w:t xml:space="preserve">documents via radio, websites, social media platforms, and word of mouth. </w:t>
      </w:r>
      <w:r w:rsidR="007C356F" w:rsidRPr="00004A5E">
        <w:rPr>
          <w:rFonts w:ascii="Times New Roman" w:hAnsi="Times New Roman" w:cs="Times New Roman"/>
          <w:sz w:val="24"/>
          <w:szCs w:val="24"/>
        </w:rPr>
        <w:fldChar w:fldCharType="begin" w:fldLock="1"/>
      </w:r>
      <w:r w:rsidRPr="00004A5E">
        <w:rPr>
          <w:rFonts w:ascii="Times New Roman" w:hAnsi="Times New Roman" w:cs="Times New Roman"/>
          <w:sz w:val="24"/>
          <w:szCs w:val="24"/>
        </w:rPr>
        <w:instrText>ADDIN CSL_CITATION { "citationItems" : [ { "id" : "ITEM-1", "itemData" : { "abstract" : "El pasado 15 de mayo de 2011 todo cambi\u00f3, o nada. Decenas de miles de ciudadanos salieron a las calles para lo que ser\u00eda el comienzo del cambio definitivo en la sociedad espa\u00f1ola y en las mentes de las personas, o no. Y no fue s\u00f3lo \"un movimiento 15M\", fueron \"muchos 15Ms\", tantos como personas. En 15M: \"Excelente. Revulsivo. Importante\", asistimos en primera persona a una de esas experiencias en Madrid. No a la m\u00e1s importante o la m\u00e1s vistosa, sencillamente, a una m\u00e1s.", "author" : [ { "dropping-particle" : "", "family" : "Grueso", "given" : "St\u00e9phane M.", "non-dropping-particle" : "", "parse-names" : false, "suffix" : "" } ], "id" : "ITEM-1", "issued" : { "date-parts" : [ [ "2012" ] ] }, "note" : "movement-made mediavery effective in leveraging mass communications. Note that they did not invent these techniques here, simply employed then effectively and on mass scale. major protests triggered after violent Puerta del Sol evictions", "publisher-place" : "Spain", "title" : "15M \u00abExcelente. Revulsivo. Importante\u00bb", "type" : "motion_picture" }, "uris" : [ "http://www.mendeley.com/documents/?uuid=eff10b4e-e790-4581-ae75-3f7ad20f8713" ] }, { "id" : "ITEM-2", "itemData" : { "DOI" : "10.1080/1369118X.2013.808360", "ISSN" : "1369-118X", "abstract" : "The 15M demonstration (the origin of the indignados movement in Spain and the seed of the occupy mobilizations) presents some outstanding characteristics that defy the established principles of the collective action paradigm. This article develops some observable implications of the concept of connective action and tests them against the case of the 15M demonstration. Cases of self-organized connective action networks are expected to be different from traditional collective action cases with regard to the characteristics of the organizations involved, the prevalent mobilization channels and the characteristics of participants. Based on a comparative analysis of data gathered from participants and organizations in nine demonstrations held in Spain between 2010 and 2011, relevant and significant differences were found in the characteristics of the 15M staging organizations (recently created, without formal membership and mainly online presence), the main mobilization channels (personal contact and online social networks rather than co-members or broadcast media), and participants (younger, more educated and less politically involved). These findings help to understand the large turnout figures of this movement and have important implications for the mobilization potential of social networks, particularly as it can affect the political participation of the less-involved citizens.\\nThe 15M demonstration (the origin of the indignados movement in Spain and the seed of the occupy mobilizations) presents some outstanding characteristics that defy the established principles of the collective action paradigm. This article develops some observable implications of the concept of connective action and tests them against the case of the 15M demonstration. Cases of self-organized connective action networks are expected to be different from traditional collective action cases with regard to the characteristics of the organizations involved, the prevalent mobilization channels and the characteristics of participants. Based on a comparative analysis of data gathered from participants and organizations in nine demonstrations held in Spain between 2010 and 2011, relevant and significant differences were found in the characteristics of the 15M staging organizations (recently created, without formal membership and mainly online presence), the main mobilization channels (personal contact and online social networks rather than co-members or broadcast media), and participants (\u2026", "author" : [ { "dropping-particle" : "", "family" : "Anduiza", "given" : "Eva", "non-dropping-particle" : "", "parse-names" : false, "suffix" : "" }, { "dropping-particle" : "", "family" : "Cristancho", "given" : "Camilo", "non-dropping-particle" : "", "parse-names" : false, "suffix" : "" }, { "dropping-particle" : "", "family" : "Sabucedo", "given" : "Jos\u00e9 M.", "non-dropping-particle" : "", "parse-names" : false, "suffix" : "" } ], "container-title" : "Information, Communication &amp; Society", "id" : "ITEM-2", "issue" : "January 2014", "issued" : { "date-parts" : [ [ "2013" ] ] }, "page" : "1-15", "title" : "Mobilization through online social networks: the political protest of the indignados in Spain", "type" : "article-journal" }, "uris" : [ "http://www.mendeley.com/documents/?uuid=1ebcd361-81b0-4da4-b189-586e3bc42abc" ] }, { "id" : "ITEM-3", "itemData" : { "ISBN" : "978-0-203-43483-3", "author" : [ { "dropping-particle" : "", "family" : "Monterde", "given" : "Arnau", "non-dropping-particle" : "", "parse-names" : false, "suffix" : "" }, { "dropping-particle" : "", "family" : "Postill", "given" : "John", "non-dropping-particle" : "", "parse-names" : false, "suffix" : "" } ], "container-title" : "Routledge Companion to Mobile Media", "editor" : [ { "dropping-particle" : "", "family" : "Goggin", "given" : "G", "non-dropping-particle" : "", "parse-names" : false, "suffix" : "" }, { "dropping-particle" : "", "family" : "Hjorth", "given" : "L", "non-dropping-particle" : "", "parse-names" : false, "suffix" : "" } ], "id" : "ITEM-3", "issued" : { "date-parts" : [ [ "2013" ] ] }, "page" : "1-17", "title" : "Mobile Ensembles: The Uses of Mobile Phones for Social Protest by Spain's Indignados", "type" : "chapter" }, "uris" : [ "http://www.mendeley.com/documents/?uuid=eee96bb9-7918-4b22-9530-8fc985776a27" ] } ], "mendeley" : { "formattedCitation" : "(Anduiza et al., 2013; Grueso, 2012; Monterde &amp; Postill, 2013)", "plainTextFormattedCitation" : "(Anduiza et al., 2013; Grueso, 2012; Monterde &amp; Postill, 2013)", "previouslyFormattedCitation" : "(Anduiza et al., 2013; Grueso, 2012; Monterde &amp; Postill, 2013)" }, "properties" : { "noteIndex" : 0 }, "schema" : "https://github.com/citation-style-language/schema/raw/master/csl-citation.json" }</w:instrText>
      </w:r>
      <w:r w:rsidR="007C356F" w:rsidRPr="00004A5E">
        <w:rPr>
          <w:rFonts w:ascii="Times New Roman" w:hAnsi="Times New Roman" w:cs="Times New Roman"/>
          <w:sz w:val="24"/>
          <w:szCs w:val="24"/>
        </w:rPr>
        <w:fldChar w:fldCharType="separate"/>
      </w:r>
      <w:r w:rsidRPr="00004A5E">
        <w:rPr>
          <w:rFonts w:ascii="Times New Roman" w:hAnsi="Times New Roman" w:cs="Times New Roman"/>
          <w:noProof/>
          <w:sz w:val="24"/>
          <w:szCs w:val="24"/>
        </w:rPr>
        <w:t>(Anduiza et al., 2013; Grueso, 2012; Monterde &amp; Postill, 2013)</w:t>
      </w:r>
      <w:r w:rsidR="007C356F" w:rsidRPr="00004A5E">
        <w:rPr>
          <w:rFonts w:ascii="Times New Roman" w:hAnsi="Times New Roman" w:cs="Times New Roman"/>
          <w:sz w:val="24"/>
          <w:szCs w:val="24"/>
        </w:rPr>
        <w:fldChar w:fldCharType="end"/>
      </w:r>
      <w:r w:rsidRPr="00004A5E">
        <w:rPr>
          <w:rFonts w:ascii="Times New Roman" w:hAnsi="Times New Roman" w:cs="Times New Roman"/>
          <w:sz w:val="24"/>
          <w:szCs w:val="24"/>
        </w:rPr>
        <w:t xml:space="preserve">. M15 embodied the modern adaptable protest model. </w:t>
      </w:r>
    </w:p>
    <w:p w:rsidR="00500388" w:rsidRPr="00004A5E" w:rsidRDefault="00500388" w:rsidP="000D0E3B">
      <w:pPr>
        <w:spacing w:line="480" w:lineRule="auto"/>
        <w:ind w:firstLine="720"/>
        <w:rPr>
          <w:rFonts w:ascii="Times New Roman" w:hAnsi="Times New Roman" w:cs="Times New Roman"/>
          <w:sz w:val="24"/>
          <w:szCs w:val="24"/>
        </w:rPr>
      </w:pPr>
      <w:r w:rsidRPr="00004A5E">
        <w:rPr>
          <w:rFonts w:ascii="Times New Roman" w:hAnsi="Times New Roman" w:cs="Times New Roman"/>
          <w:sz w:val="24"/>
          <w:szCs w:val="24"/>
        </w:rPr>
        <w:t xml:space="preserve">By 2013 and Euromaydan, the internet was accessible to many more </w:t>
      </w:r>
      <w:r w:rsidR="00F0288C" w:rsidRPr="00004A5E">
        <w:rPr>
          <w:rFonts w:ascii="Times New Roman" w:hAnsi="Times New Roman" w:cs="Times New Roman"/>
          <w:sz w:val="24"/>
          <w:szCs w:val="24"/>
        </w:rPr>
        <w:t>Ukrainians</w:t>
      </w:r>
      <w:r w:rsidRPr="00004A5E">
        <w:rPr>
          <w:rFonts w:ascii="Times New Roman" w:hAnsi="Times New Roman" w:cs="Times New Roman"/>
          <w:sz w:val="24"/>
          <w:szCs w:val="24"/>
        </w:rPr>
        <w:t xml:space="preserve">, who used it to dissent against the government’s refusal to sign an association agreement with the European Union. Protesters also expressed discontent against the system itself, arguing that the Orange Revolution of 2004 had failed to do more than change the top leadership of a fundamentally corrupt government </w:t>
      </w:r>
      <w:r w:rsidR="007C356F" w:rsidRPr="00004A5E">
        <w:rPr>
          <w:rFonts w:ascii="Times New Roman" w:hAnsi="Times New Roman" w:cs="Times New Roman"/>
          <w:sz w:val="24"/>
          <w:szCs w:val="24"/>
        </w:rPr>
        <w:fldChar w:fldCharType="begin" w:fldLock="1"/>
      </w:r>
      <w:r w:rsidRPr="00004A5E">
        <w:rPr>
          <w:rFonts w:ascii="Times New Roman" w:hAnsi="Times New Roman" w:cs="Times New Roman"/>
          <w:sz w:val="24"/>
          <w:szCs w:val="24"/>
        </w:rPr>
        <w:instrText>ADDIN CSL_CITATION { "citationItems" : [ { "id" : "ITEM-1", "itemData" : { "DOI" : "10.1016/j.postcomstud.2014.04.013", "ISSN" : "0967067X", "abstract" : "This article surveys and discusses the latest wave of mass protests in Ukraine, the Euromaydan. This study situates the Euromaydan within the history of the other protests in post-communist Ukraine and makes a comparison to the Orange Revolution (the Orange Revolution). The authors recognize the importance of international factors, but argue that Ukrainian domestic political factors contributed significantly not only to the emergence, but also to escalation of the latest conflict in Ukraine. This study tests a theory about the role of institutional factors versus the role of cultural-historic legacies in the process of mass protest formation and conflict development. We argue that institutional factors, such as: governmental policies; the composition of governmental, opposition, and civil society groups; corruption; and timing of legislative activity on most divisive issues in Ukraine have contributed to the conflict escalation in Ukraine. \u00a9 2014.", "author" : [ { "dropping-particle" : "", "family" : "Khmelko", "given" : "Irina", "non-dropping-particle" : "", "parse-names" : false, "suffix" : "" }, { "dropping-particle" : "", "family" : "Pereguda", "given" : "Yevgen", "non-dropping-particle" : "", "parse-names" : false, "suffix" : "" } ], "container-title" : "Communist and Post-Communist Studies", "id" : "ITEM-1", "issue" : "2", "issued" : { "date-parts" : [ [ "2014" ] ] }, "page" : "227-236", "publisher" : "Elsevier Ltd", "title" : "An Anatomy of Mass Protests: The Orange Revolution and Euromaydan Compared", "type" : "article-journal", "volume" : "47" }, "uris" : [ "http://www.mendeley.com/documents/?uuid=5735a49d-ebfe-447a-83d7-1413ada43466" ] } ], "mendeley" : { "formattedCitation" : "(Khmelko &amp; Pereguda, 2014)", "plainTextFormattedCitation" : "(Khmelko &amp; Pereguda, 2014)", "previouslyFormattedCitation" : "(Khmelko &amp; Pereguda, 2014)" }, "properties" : { "noteIndex" : 0 }, "schema" : "https://github.com/citation-style-language/schema/raw/master/csl-citation.json" }</w:instrText>
      </w:r>
      <w:r w:rsidR="007C356F" w:rsidRPr="00004A5E">
        <w:rPr>
          <w:rFonts w:ascii="Times New Roman" w:hAnsi="Times New Roman" w:cs="Times New Roman"/>
          <w:sz w:val="24"/>
          <w:szCs w:val="24"/>
        </w:rPr>
        <w:fldChar w:fldCharType="separate"/>
      </w:r>
      <w:r w:rsidRPr="00004A5E">
        <w:rPr>
          <w:rFonts w:ascii="Times New Roman" w:hAnsi="Times New Roman" w:cs="Times New Roman"/>
          <w:noProof/>
          <w:sz w:val="24"/>
          <w:szCs w:val="24"/>
        </w:rPr>
        <w:t>(Khmelko &amp; Pereguda, 2014)</w:t>
      </w:r>
      <w:r w:rsidR="007C356F" w:rsidRPr="00004A5E">
        <w:rPr>
          <w:rFonts w:ascii="Times New Roman" w:hAnsi="Times New Roman" w:cs="Times New Roman"/>
          <w:sz w:val="24"/>
          <w:szCs w:val="24"/>
        </w:rPr>
        <w:fldChar w:fldCharType="end"/>
      </w:r>
      <w:r w:rsidRPr="00004A5E">
        <w:rPr>
          <w:rFonts w:ascii="Times New Roman" w:hAnsi="Times New Roman" w:cs="Times New Roman"/>
          <w:sz w:val="24"/>
          <w:szCs w:val="24"/>
        </w:rPr>
        <w:t xml:space="preserve">. As </w:t>
      </w:r>
      <w:r w:rsidR="00FE11A0">
        <w:rPr>
          <w:rFonts w:ascii="Times New Roman" w:hAnsi="Times New Roman" w:cs="Times New Roman"/>
          <w:sz w:val="24"/>
          <w:szCs w:val="24"/>
        </w:rPr>
        <w:t xml:space="preserve">in the cases of M15 and Occupy, smartphone </w:t>
      </w:r>
      <w:r w:rsidRPr="00004A5E">
        <w:rPr>
          <w:rFonts w:ascii="Times New Roman" w:hAnsi="Times New Roman" w:cs="Times New Roman"/>
          <w:sz w:val="24"/>
          <w:szCs w:val="24"/>
        </w:rPr>
        <w:t xml:space="preserve">video recordings of police brutality played an important role in galvanizing popular resistance </w:t>
      </w:r>
      <w:r w:rsidR="007C356F" w:rsidRPr="00004A5E">
        <w:rPr>
          <w:rFonts w:ascii="Times New Roman" w:hAnsi="Times New Roman" w:cs="Times New Roman"/>
          <w:sz w:val="24"/>
          <w:szCs w:val="24"/>
        </w:rPr>
        <w:fldChar w:fldCharType="begin" w:fldLock="1"/>
      </w:r>
      <w:r w:rsidR="00617450" w:rsidRPr="00004A5E">
        <w:rPr>
          <w:rFonts w:ascii="Times New Roman" w:hAnsi="Times New Roman" w:cs="Times New Roman"/>
          <w:sz w:val="24"/>
          <w:szCs w:val="24"/>
        </w:rPr>
        <w:instrText>ADDIN CSL_CITATION { "citationItems" : [ { "id" : "ITEM-1", "itemData" : { "DOI" : "10.1016/j.postcomstud.2014.04.013", "ISSN" : "0967067X", "abstract" : "This article surveys and discusses the latest wave of mass protests in Ukraine, the Euromaydan. This study situates the Euromaydan within the history of the other protests in post-communist Ukraine and makes a comparison to the Orange Revolution (the Orange Revolution). The authors recognize the importance of international factors, but argue that Ukrainian domestic political factors contributed significantly not only to the emergence, but also to escalation of the latest conflict in Ukraine. This study tests a theory about the role of institutional factors versus the role of cultural-historic legacies in the process of mass protest formation and conflict development. We argue that institutional factors, such as: governmental policies; the composition of governmental, opposition, and civil society groups; corruption; and timing of legislative activity on most divisive issues in Ukraine have contributed to the conflict escalation in Ukraine. \u00a9 2014.", "author" : [ { "dropping-particle" : "", "family" : "Khmelko", "given" : "Irina", "non-dropping-particle" : "", "parse-names" : false, "suffix" : "" }, { "dropping-particle" : "", "family" : "Pereguda", "given" : "Yevgen", "non-dropping-particle" : "", "parse-names" : false, "suffix" : "" } ], "container-title" : "Communist and Post-Communist Studies", "id" : "ITEM-1", "issue" : "2", "issued" : { "date-parts" : [ [ "2014" ] ] }, "page" : "227-236", "publisher" : "Elsevier Ltd", "title" : "An Anatomy of Mass Protests: The Orange Revolution and Euromaydan Compared", "type" : "article-journal", "volume" : "47" }, "uris" : [ "http://www.mendeley.com/documents/?uuid=5735a49d-ebfe-447a-83d7-1413ada43466" ] } ], "mendeley" : { "formattedCitation" : "(Khmelko &amp; Pereguda, 2014)", "plainTextFormattedCitation" : "(Khmelko &amp; Pereguda, 2014)", "previouslyFormattedCitation" : "(Khmelko &amp; Pereguda, 2014)" }, "properties" : { "noteIndex" : 0 }, "schema" : "https://github.com/citation-style-language/schema/raw/master/csl-citation.json" }</w:instrText>
      </w:r>
      <w:r w:rsidR="007C356F" w:rsidRPr="00004A5E">
        <w:rPr>
          <w:rFonts w:ascii="Times New Roman" w:hAnsi="Times New Roman" w:cs="Times New Roman"/>
          <w:sz w:val="24"/>
          <w:szCs w:val="24"/>
        </w:rPr>
        <w:fldChar w:fldCharType="separate"/>
      </w:r>
      <w:r w:rsidRPr="00004A5E">
        <w:rPr>
          <w:rFonts w:ascii="Times New Roman" w:hAnsi="Times New Roman" w:cs="Times New Roman"/>
          <w:noProof/>
          <w:sz w:val="24"/>
          <w:szCs w:val="24"/>
        </w:rPr>
        <w:t>(Khmelko &amp; Pereguda, 2014)</w:t>
      </w:r>
      <w:r w:rsidR="007C356F" w:rsidRPr="00004A5E">
        <w:rPr>
          <w:rFonts w:ascii="Times New Roman" w:hAnsi="Times New Roman" w:cs="Times New Roman"/>
          <w:sz w:val="24"/>
          <w:szCs w:val="24"/>
        </w:rPr>
        <w:fldChar w:fldCharType="end"/>
      </w:r>
      <w:r w:rsidRPr="00004A5E">
        <w:rPr>
          <w:rFonts w:ascii="Times New Roman" w:hAnsi="Times New Roman" w:cs="Times New Roman"/>
          <w:sz w:val="24"/>
          <w:szCs w:val="24"/>
        </w:rPr>
        <w:t>.</w:t>
      </w:r>
    </w:p>
    <w:p w:rsidR="00500388" w:rsidRPr="00004A5E" w:rsidRDefault="00500388" w:rsidP="00500388">
      <w:pPr>
        <w:spacing w:line="480" w:lineRule="auto"/>
        <w:ind w:firstLine="720"/>
        <w:rPr>
          <w:rFonts w:ascii="Times New Roman" w:hAnsi="Times New Roman" w:cs="Times New Roman"/>
          <w:sz w:val="24"/>
          <w:szCs w:val="24"/>
        </w:rPr>
      </w:pPr>
      <w:r w:rsidRPr="00004A5E">
        <w:rPr>
          <w:rFonts w:ascii="Times New Roman" w:hAnsi="Times New Roman" w:cs="Times New Roman"/>
          <w:sz w:val="24"/>
          <w:szCs w:val="24"/>
        </w:rPr>
        <w:t xml:space="preserve">Writing after the events of the Orange revolution, </w:t>
      </w:r>
      <w:r w:rsidR="007C356F" w:rsidRPr="00004A5E">
        <w:rPr>
          <w:rFonts w:ascii="Times New Roman" w:hAnsi="Times New Roman" w:cs="Times New Roman"/>
          <w:sz w:val="24"/>
          <w:szCs w:val="24"/>
        </w:rPr>
        <w:fldChar w:fldCharType="begin" w:fldLock="1"/>
      </w:r>
      <w:r w:rsidRPr="00004A5E">
        <w:rPr>
          <w:rFonts w:ascii="Times New Roman" w:hAnsi="Times New Roman" w:cs="Times New Roman"/>
          <w:sz w:val="24"/>
          <w:szCs w:val="24"/>
        </w:rPr>
        <w:instrText>ADDIN CSL_CITATION { "citationItems" : [ { "id" : "ITEM-1", "itemData" : { "DOI" : "10.2307/2944858", "ISSN" : "1556-5068", "abstract" : "This working paper is part of a series examining how the Internet influences democracy. This report is a narrative case study that examines the role of the Internet and mobile phones during Ukraine's 2004 Orange Revolution. The first section describes the online citizen journalists who reported many stories left untouched by self censored mainstream journalists. The second section investigates the use of digital networked technologies by pro-democracy organizers. This case study concludes with the statement that the Internet and mobile phones made a wide range of activities easier, however the Orange Revolution was largely made possible by savvy activists and journalists willing to take risks to improve their country.", "author" : [ { "dropping-particle" : "", "family" : "Goldstein", "given" : "Joshua", "non-dropping-particle" : "", "parse-names" : false, "suffix" : "" } ], "container-title" : "American Political Science Review", "id" : "ITEM-1", "issue" : "3", "issued" : { "date-parts" : [ [ "2007" ] ] }, "page" : "790", "title" : "The Role of Digital Networked Technologies in the Ukrainian Orange Revolution", "type" : "article-journal", "volume" : "7641" }, "uris" : [ "http://www.mendeley.com/documents/?uuid=ee8348cf-5cdd-46d8-976b-72d09eafd625" ] } ], "mendeley" : { "formattedCitation" : "(Goldstein, 2007)", "manualFormatting" : "Goldstein (2007)", "plainTextFormattedCitation" : "(Goldstein, 2007)", "previouslyFormattedCitation" : "(Goldstein, 2007)" }, "properties" : { "noteIndex" : 0 }, "schema" : "https://github.com/citation-style-language/schema/raw/master/csl-citation.json" }</w:instrText>
      </w:r>
      <w:r w:rsidR="007C356F" w:rsidRPr="00004A5E">
        <w:rPr>
          <w:rFonts w:ascii="Times New Roman" w:hAnsi="Times New Roman" w:cs="Times New Roman"/>
          <w:sz w:val="24"/>
          <w:szCs w:val="24"/>
        </w:rPr>
        <w:fldChar w:fldCharType="separate"/>
      </w:r>
      <w:r w:rsidRPr="00004A5E">
        <w:rPr>
          <w:rFonts w:ascii="Times New Roman" w:hAnsi="Times New Roman" w:cs="Times New Roman"/>
          <w:noProof/>
          <w:sz w:val="24"/>
          <w:szCs w:val="24"/>
        </w:rPr>
        <w:t>Goldstein (2007)</w:t>
      </w:r>
      <w:r w:rsidR="007C356F" w:rsidRPr="00004A5E">
        <w:rPr>
          <w:rFonts w:ascii="Times New Roman" w:hAnsi="Times New Roman" w:cs="Times New Roman"/>
          <w:sz w:val="24"/>
          <w:szCs w:val="24"/>
        </w:rPr>
        <w:fldChar w:fldCharType="end"/>
      </w:r>
      <w:r w:rsidRPr="00004A5E">
        <w:rPr>
          <w:rFonts w:ascii="Times New Roman" w:hAnsi="Times New Roman" w:cs="Times New Roman"/>
          <w:sz w:val="24"/>
          <w:szCs w:val="24"/>
        </w:rPr>
        <w:t xml:space="preserve"> contends that activists made better use of the internet than the government, and therefore the relative advantage of the medium was in their favor. In all of the movements examined in this section, it appears as though the relative advantage of the internet favored the protesters. However, the outright deactivation of the internet in several countries during the 2011 Arab Spring, and the presence of new repressive technologies demonstrates that governments are </w:t>
      </w:r>
      <w:r w:rsidR="000D0E3B">
        <w:rPr>
          <w:rFonts w:ascii="Times New Roman" w:hAnsi="Times New Roman" w:cs="Times New Roman"/>
          <w:sz w:val="24"/>
          <w:szCs w:val="24"/>
        </w:rPr>
        <w:t>adapting</w:t>
      </w:r>
      <w:r w:rsidRPr="00004A5E">
        <w:rPr>
          <w:rFonts w:ascii="Times New Roman" w:hAnsi="Times New Roman" w:cs="Times New Roman"/>
          <w:sz w:val="24"/>
          <w:szCs w:val="24"/>
        </w:rPr>
        <w:t xml:space="preserve"> these technologies to their advantage. </w:t>
      </w:r>
      <w:r w:rsidR="007C356F" w:rsidRPr="00004A5E">
        <w:rPr>
          <w:rFonts w:ascii="Times New Roman" w:hAnsi="Times New Roman" w:cs="Times New Roman"/>
          <w:sz w:val="24"/>
          <w:szCs w:val="24"/>
        </w:rPr>
        <w:fldChar w:fldCharType="begin" w:fldLock="1"/>
      </w:r>
      <w:r w:rsidRPr="00004A5E">
        <w:rPr>
          <w:rFonts w:ascii="Times New Roman" w:hAnsi="Times New Roman" w:cs="Times New Roman"/>
          <w:sz w:val="24"/>
          <w:szCs w:val="24"/>
        </w:rPr>
        <w:instrText>ADDIN CSL_CITATION { "citationItems" : [ { "id" : "ITEM-1", "itemData" : { "DOI" : "10.1111/misr.12020", "ISBN" : "1521-9488", "ISSN" : "15219488", "abstract" : "It has been 15years since the last wave of democratization. But as a region, North Africa and the Middle East were noticeably devoid of popular democracy movementsuntil the early months of 2011. Democratization movements had existed long before technologies like mobile phones and the Internet came to these countries. But with these technologies, people sharing an interest in democracy built extensive networks and activated collective action movements for political change. What might have made regimes more susceptible than others to these uprisings, and what might explain the relative successes of some movements over others? What role does information technology have in the modern recipe for democratization? Weighing multiple political, economic, demographic, and cultural conditions, we find that information infrastructureespecially mobile phone useconsistently appears as one of the key ingredients in parsimonious models for the conjoined combinations of causes behind regime fragility and social movement success. To understand the successes and failures of contemporary political protests, we must also assess how civil society leaders and authoritarian security forces treat communication technologies as democratically consequential.", "author" : [ { "dropping-particle" : "", "family" : "Hussain", "given" : "Muzammil M.", "non-dropping-particle" : "", "parse-names" : false, "suffix" : "" }, { "dropping-particle" : "", "family" : "Howard", "given" : "Philip N.", "non-dropping-particle" : "", "parse-names" : false, "suffix" : "" } ], "container-title" : "International Studies Review", "id" : "ITEM-1", "issue" : "1", "issued" : { "date-parts" : [ [ "2013" ] ] }, "page" : "48-66", "title" : "What best explains successful protest cascades? ICTs and the fuzzy causes of the Arab Spring", "type" : "article-journal", "volume" : "15" }, "uris" : [ "http://www.mendeley.com/documents/?uuid=f314c33c-a362-4593-825b-87cb518f4f31" ] } ], "mendeley" : { "formattedCitation" : "(Hussain &amp; Howard, 2013)", "plainTextFormattedCitation" : "(Hussain &amp; Howard, 2013)", "previouslyFormattedCitation" : "(Hussain &amp; Howard, 2013)" }, "properties" : { "noteIndex" : 0 }, "schema" : "https://github.com/citation-style-language/schema/raw/master/csl-citation.json" }</w:instrText>
      </w:r>
      <w:r w:rsidR="007C356F" w:rsidRPr="00004A5E">
        <w:rPr>
          <w:rFonts w:ascii="Times New Roman" w:hAnsi="Times New Roman" w:cs="Times New Roman"/>
          <w:sz w:val="24"/>
          <w:szCs w:val="24"/>
        </w:rPr>
        <w:fldChar w:fldCharType="separate"/>
      </w:r>
      <w:r w:rsidRPr="00004A5E">
        <w:rPr>
          <w:rFonts w:ascii="Times New Roman" w:hAnsi="Times New Roman" w:cs="Times New Roman"/>
          <w:noProof/>
          <w:sz w:val="24"/>
          <w:szCs w:val="24"/>
        </w:rPr>
        <w:t>(Hussain &amp; Howard, 2013)</w:t>
      </w:r>
      <w:r w:rsidR="007C356F" w:rsidRPr="00004A5E">
        <w:rPr>
          <w:rFonts w:ascii="Times New Roman" w:hAnsi="Times New Roman" w:cs="Times New Roman"/>
          <w:sz w:val="24"/>
          <w:szCs w:val="24"/>
        </w:rPr>
        <w:fldChar w:fldCharType="end"/>
      </w:r>
      <w:r w:rsidRPr="00004A5E">
        <w:rPr>
          <w:rFonts w:ascii="Times New Roman" w:hAnsi="Times New Roman" w:cs="Times New Roman"/>
          <w:sz w:val="24"/>
          <w:szCs w:val="24"/>
        </w:rPr>
        <w:t xml:space="preserve">. </w:t>
      </w:r>
    </w:p>
    <w:p w:rsidR="00F154E7" w:rsidRPr="00004A5E" w:rsidRDefault="00F154E7" w:rsidP="00004A5E">
      <w:pPr>
        <w:pStyle w:val="Heading1"/>
        <w:jc w:val="center"/>
        <w:rPr>
          <w:rFonts w:ascii="Georgia" w:hAnsi="Georgia"/>
        </w:rPr>
      </w:pPr>
      <w:r w:rsidRPr="00004A5E">
        <w:rPr>
          <w:rFonts w:ascii="Georgia" w:hAnsi="Georgia"/>
        </w:rPr>
        <w:t>Government Response</w:t>
      </w:r>
      <w:r w:rsidR="007F71FE" w:rsidRPr="00004A5E">
        <w:rPr>
          <w:rFonts w:ascii="Georgia" w:hAnsi="Georgia"/>
        </w:rPr>
        <w:t>s to Mass Movements</w:t>
      </w:r>
    </w:p>
    <w:p w:rsidR="002433C1" w:rsidRPr="00004A5E" w:rsidRDefault="00DE3CAA" w:rsidP="003E4865">
      <w:pPr>
        <w:spacing w:line="480" w:lineRule="auto"/>
        <w:ind w:firstLine="720"/>
        <w:rPr>
          <w:rFonts w:ascii="Times New Roman" w:hAnsi="Times New Roman" w:cs="Times New Roman"/>
          <w:sz w:val="24"/>
          <w:szCs w:val="24"/>
        </w:rPr>
      </w:pPr>
      <w:r w:rsidRPr="00004A5E">
        <w:rPr>
          <w:rFonts w:ascii="Times New Roman" w:hAnsi="Times New Roman" w:cs="Times New Roman"/>
          <w:sz w:val="24"/>
          <w:szCs w:val="24"/>
        </w:rPr>
        <w:t>If a government does not agree with the objectives of a</w:t>
      </w:r>
      <w:r w:rsidR="008D214F" w:rsidRPr="00004A5E">
        <w:rPr>
          <w:rFonts w:ascii="Times New Roman" w:hAnsi="Times New Roman" w:cs="Times New Roman"/>
          <w:sz w:val="24"/>
          <w:szCs w:val="24"/>
        </w:rPr>
        <w:t xml:space="preserve"> specific</w:t>
      </w:r>
      <w:r w:rsidRPr="00004A5E">
        <w:rPr>
          <w:rFonts w:ascii="Times New Roman" w:hAnsi="Times New Roman" w:cs="Times New Roman"/>
          <w:sz w:val="24"/>
          <w:szCs w:val="24"/>
        </w:rPr>
        <w:t xml:space="preserve"> protest movement,</w:t>
      </w:r>
      <w:r w:rsidR="005969EC" w:rsidRPr="00004A5E">
        <w:rPr>
          <w:rFonts w:ascii="Times New Roman" w:hAnsi="Times New Roman" w:cs="Times New Roman"/>
          <w:sz w:val="24"/>
          <w:szCs w:val="24"/>
        </w:rPr>
        <w:t xml:space="preserve"> it can choose to suppress it</w:t>
      </w:r>
      <w:r w:rsidR="004A0744" w:rsidRPr="00004A5E">
        <w:rPr>
          <w:rFonts w:ascii="Times New Roman" w:hAnsi="Times New Roman" w:cs="Times New Roman"/>
          <w:sz w:val="24"/>
          <w:szCs w:val="24"/>
        </w:rPr>
        <w:t xml:space="preserve">. </w:t>
      </w:r>
      <w:r w:rsidR="009236D7" w:rsidRPr="00004A5E">
        <w:rPr>
          <w:rFonts w:ascii="Times New Roman" w:hAnsi="Times New Roman" w:cs="Times New Roman"/>
          <w:sz w:val="24"/>
          <w:szCs w:val="24"/>
        </w:rPr>
        <w:t>Non</w:t>
      </w:r>
      <w:r w:rsidR="00E97814" w:rsidRPr="00004A5E">
        <w:rPr>
          <w:rFonts w:ascii="Times New Roman" w:hAnsi="Times New Roman" w:cs="Times New Roman"/>
          <w:sz w:val="24"/>
          <w:szCs w:val="24"/>
        </w:rPr>
        <w:t xml:space="preserve">-disruptive techniques – </w:t>
      </w:r>
      <w:r w:rsidR="009236D7" w:rsidRPr="00004A5E">
        <w:rPr>
          <w:rFonts w:ascii="Times New Roman" w:hAnsi="Times New Roman" w:cs="Times New Roman"/>
          <w:sz w:val="24"/>
          <w:szCs w:val="24"/>
        </w:rPr>
        <w:t>the “hearts-and-minds” strategies</w:t>
      </w:r>
      <w:r w:rsidR="00E97814" w:rsidRPr="00004A5E">
        <w:rPr>
          <w:rFonts w:ascii="Times New Roman" w:hAnsi="Times New Roman" w:cs="Times New Roman"/>
          <w:sz w:val="24"/>
          <w:szCs w:val="24"/>
        </w:rPr>
        <w:t xml:space="preserve"> – </w:t>
      </w:r>
      <w:r w:rsidR="004A0744" w:rsidRPr="00004A5E">
        <w:rPr>
          <w:rFonts w:ascii="Times New Roman" w:hAnsi="Times New Roman" w:cs="Times New Roman"/>
          <w:sz w:val="24"/>
          <w:szCs w:val="24"/>
        </w:rPr>
        <w:t xml:space="preserve">are more likely to avoid a backlash than direct suppression techniques </w:t>
      </w:r>
      <w:r w:rsidR="007C356F" w:rsidRPr="00004A5E">
        <w:rPr>
          <w:rFonts w:ascii="Times New Roman" w:hAnsi="Times New Roman" w:cs="Times New Roman"/>
          <w:sz w:val="24"/>
          <w:szCs w:val="24"/>
        </w:rPr>
        <w:fldChar w:fldCharType="begin" w:fldLock="1"/>
      </w:r>
      <w:r w:rsidR="005101A8" w:rsidRPr="00004A5E">
        <w:rPr>
          <w:rFonts w:ascii="Times New Roman" w:hAnsi="Times New Roman" w:cs="Times New Roman"/>
          <w:sz w:val="24"/>
          <w:szCs w:val="24"/>
        </w:rPr>
        <w:instrText>ADDIN CSL_CITATION { "citationItems" : [ { "id" : "ITEM-1", "itemData" : { "DOI" : "10.1371/journal.pone.0018545", "ISSN" : "19326203", "PMID" : "21533247", "abstract" : "Suppressing damaging aggregate behaviors such as insurgency, terrorism, and financial panics are important tasks of the state. Each outcome of these aggregate behaviors is an emergent property of a system in which each individual's action depends on a subset of others' actions, given by each individual's network of interactions. Yet there are few explicit comparisons of strategies for suppression, and none that fully incorporate the interdependence of individual behavior.", "author" : [ { "dropping-particle" : "", "family" : "Siegel", "given" : "David a.", "non-dropping-particle" : "", "parse-names" : false, "suffix" : "" } ], "container-title" : "PLoS ONE", "id" : "ITEM-1", "issue" : "4", "issued" : { "date-parts" : [ [ "2011" ] ] }, "note" : "the state's guide to how to control people", "title" : "Non-disruptive tactics of suppression are superior in countering terrorism, insurgency, and financial panics", "type" : "article-journal", "volume" : "6" }, "uris" : [ "http://www.mendeley.com/documents/?uuid=3a201a5a-a929-4ced-89f0-d07f3621bd13" ] } ], "mendeley" : { "formattedCitation" : "(Siegel, 2011)", "plainTextFormattedCitation" : "(Siegel, 2011)", "previouslyFormattedCitation" : "(Siegel, 2011)" }, "properties" : { "noteIndex" : 0 }, "schema" : "https://github.com/citation-style-language/schema/raw/master/csl-citation.json" }</w:instrText>
      </w:r>
      <w:r w:rsidR="007C356F" w:rsidRPr="00004A5E">
        <w:rPr>
          <w:rFonts w:ascii="Times New Roman" w:hAnsi="Times New Roman" w:cs="Times New Roman"/>
          <w:sz w:val="24"/>
          <w:szCs w:val="24"/>
        </w:rPr>
        <w:fldChar w:fldCharType="separate"/>
      </w:r>
      <w:r w:rsidR="004A0744" w:rsidRPr="00004A5E">
        <w:rPr>
          <w:rFonts w:ascii="Times New Roman" w:hAnsi="Times New Roman" w:cs="Times New Roman"/>
          <w:noProof/>
          <w:sz w:val="24"/>
          <w:szCs w:val="24"/>
        </w:rPr>
        <w:t>(Siegel, 2011)</w:t>
      </w:r>
      <w:r w:rsidR="007C356F" w:rsidRPr="00004A5E">
        <w:rPr>
          <w:rFonts w:ascii="Times New Roman" w:hAnsi="Times New Roman" w:cs="Times New Roman"/>
          <w:sz w:val="24"/>
          <w:szCs w:val="24"/>
        </w:rPr>
        <w:fldChar w:fldCharType="end"/>
      </w:r>
      <w:r w:rsidR="004A0744" w:rsidRPr="00004A5E">
        <w:rPr>
          <w:rFonts w:ascii="Times New Roman" w:hAnsi="Times New Roman" w:cs="Times New Roman"/>
          <w:sz w:val="24"/>
          <w:szCs w:val="24"/>
        </w:rPr>
        <w:t xml:space="preserve"> but </w:t>
      </w:r>
      <w:r w:rsidR="009236D7" w:rsidRPr="00004A5E">
        <w:rPr>
          <w:rFonts w:ascii="Times New Roman" w:hAnsi="Times New Roman" w:cs="Times New Roman"/>
          <w:sz w:val="24"/>
          <w:szCs w:val="24"/>
        </w:rPr>
        <w:t xml:space="preserve">to understand the true balance of power over the internet both </w:t>
      </w:r>
      <w:r w:rsidR="00674862" w:rsidRPr="00004A5E">
        <w:rPr>
          <w:rFonts w:ascii="Times New Roman" w:hAnsi="Times New Roman" w:cs="Times New Roman"/>
          <w:sz w:val="24"/>
          <w:szCs w:val="24"/>
        </w:rPr>
        <w:t xml:space="preserve">technique categories </w:t>
      </w:r>
      <w:r w:rsidR="003E4865" w:rsidRPr="00004A5E">
        <w:rPr>
          <w:rFonts w:ascii="Times New Roman" w:hAnsi="Times New Roman" w:cs="Times New Roman"/>
          <w:sz w:val="24"/>
          <w:szCs w:val="24"/>
        </w:rPr>
        <w:t xml:space="preserve">must be discussed. </w:t>
      </w:r>
    </w:p>
    <w:p w:rsidR="00713690" w:rsidRPr="00004A5E" w:rsidRDefault="007C356F" w:rsidP="003C58B3">
      <w:pPr>
        <w:spacing w:line="480" w:lineRule="auto"/>
        <w:ind w:firstLine="720"/>
        <w:rPr>
          <w:rFonts w:ascii="Times New Roman" w:hAnsi="Times New Roman" w:cs="Times New Roman"/>
          <w:sz w:val="24"/>
          <w:szCs w:val="24"/>
        </w:rPr>
      </w:pPr>
      <w:r w:rsidRPr="00004A5E">
        <w:rPr>
          <w:rFonts w:ascii="Times New Roman" w:hAnsi="Times New Roman" w:cs="Times New Roman"/>
          <w:sz w:val="24"/>
          <w:szCs w:val="24"/>
        </w:rPr>
        <w:fldChar w:fldCharType="begin" w:fldLock="1"/>
      </w:r>
      <w:r w:rsidR="002433C1" w:rsidRPr="00004A5E">
        <w:rPr>
          <w:rFonts w:ascii="Times New Roman" w:hAnsi="Times New Roman" w:cs="Times New Roman"/>
          <w:sz w:val="24"/>
          <w:szCs w:val="24"/>
        </w:rPr>
        <w:instrText>ADDIN CSL_CITATION { "citationItems" : [ { "id" : "ITEM-1", "itemData" : { "abstract" : "ditors9 Note: Does the global diffusion of the Internet signify the final end of the state's to control or is the state on the contrary or even ability society, maintaining strengthening its hold of society f Several observers have taken the latter position, most recently Goldsmith and Wu (2006), authors of Who Controls the Internet?, while critics claim this is grossly misleading, and that international regimes and a myriad of nonstate actors such as pri vate firms and nongovernmental organizations play a much greater role in Internet gover nance (Mathiason 2007). In our view, thus structured, such debate risks reiterating a much older (and largely stalemated) debate about whether the nation-state is \"obstinate or obsolete\" (Hoffman 1966), mirrored also in the larger debate about globalization. The goal of the present Forum1 is to reexamine and ultimately problematize this debate by discussing what actors are controlling what aspects of Internet and under what conditions. A usage, brief introduction to this is given in the first essay, written by the Editors. The following contributions demonstrate rather than word on who controls the Inter that, seeking a final net, it is more fruitful to unpack the complexity of control in the digital age, and indeed the diversity and preliminary nature of available analyses. It is also for this reason we have invited contributors who elaborate a variety of perspectives, including a stout defender of state-centrism a contributor who unravels (Hamoud Salhi), the complexity of public-private partnerships in Internet control (Myriam Dunn Cavelty), and advocates of more critical perspectives emphasizing complexity (J.P. Singh), interactivity and discourse (M.I. Frank lin). We believe that the global scope and spatial origins of the authors in this Forum imply experiences and outlooks which help reveal new insights and cross-fertilizations, which goes beyond the dominant US-centered perspectives on international relations in general and the Internet in particular. 1This", "author" : [ { "dropping-particle" : "", "family" : "Eriksson", "given" : "Johan", "non-dropping-particle" : "", "parse-names" : false, "suffix" : "" }, { "dropping-particle" : "", "family" : "Giacomello", "given" : "Giampiero", "non-dropping-particle" : "", "parse-names" : false, "suffix" : "" }, { "dropping-particle" : "", "family" : "Salhi", "given" : "Hamoud", "non-dropping-particle" : "", "parse-names" : false, "suffix" : "" }, { "dropping-particle" : "", "family" : "Cavelty", "given" : "Myriam Dunn", "non-dropping-particle" : "", "parse-names" : false, "suffix" : "" }, { "dropping-particle" : "", "family" : "Singh", "given" : "J. P.", "non-dropping-particle" : "", "parse-names" : false, "suffix" : "" }, { "dropping-particle" : "", "family" : "Franklin", "given" : "M. I.", "non-dropping-particle" : "", "parse-names" : false, "suffix" : "" } ], "container-title" : "International Studies Review", "id" : "ITEM-1", "issue" : "1", "issued" : { "date-parts" : [ [ "2009" ] ] }, "page" : "205-230", "title" : "Who Controls the Internet? Beyond the Obstinacy or Obsolescence of the State", "type" : "article-journal", "volume" : "11" }, "uris" : [ "http://www.mendeley.com/documents/?uuid=f96f89c4-aaef-4ac1-ad5c-3891e6aca23a" ] } ], "mendeley" : { "formattedCitation" : "(Eriksson et al., 2009)", "manualFormatting" : "Eriksson et al. (2009)", "plainTextFormattedCitation" : "(Eriksson et al., 2009)", "previouslyFormattedCitation" : "(Eriksson et al., 2009)" }, "properties" : { "noteIndex" : 0 }, "schema" : "https://github.com/citation-style-language/schema/raw/master/csl-citation.json" }</w:instrText>
      </w:r>
      <w:r w:rsidRPr="00004A5E">
        <w:rPr>
          <w:rFonts w:ascii="Times New Roman" w:hAnsi="Times New Roman" w:cs="Times New Roman"/>
          <w:sz w:val="24"/>
          <w:szCs w:val="24"/>
        </w:rPr>
        <w:fldChar w:fldCharType="separate"/>
      </w:r>
      <w:r w:rsidR="002433C1" w:rsidRPr="00004A5E">
        <w:rPr>
          <w:rFonts w:ascii="Times New Roman" w:hAnsi="Times New Roman" w:cs="Times New Roman"/>
          <w:noProof/>
          <w:sz w:val="24"/>
          <w:szCs w:val="24"/>
        </w:rPr>
        <w:t>Eriksson et al.</w:t>
      </w:r>
      <w:r w:rsidR="005101A8" w:rsidRPr="00004A5E">
        <w:rPr>
          <w:rFonts w:ascii="Times New Roman" w:hAnsi="Times New Roman" w:cs="Times New Roman"/>
          <w:noProof/>
          <w:sz w:val="24"/>
          <w:szCs w:val="24"/>
        </w:rPr>
        <w:t xml:space="preserve"> </w:t>
      </w:r>
      <w:r w:rsidR="002433C1" w:rsidRPr="00004A5E">
        <w:rPr>
          <w:rFonts w:ascii="Times New Roman" w:hAnsi="Times New Roman" w:cs="Times New Roman"/>
          <w:noProof/>
          <w:sz w:val="24"/>
          <w:szCs w:val="24"/>
        </w:rPr>
        <w:t>(</w:t>
      </w:r>
      <w:r w:rsidR="005101A8" w:rsidRPr="00004A5E">
        <w:rPr>
          <w:rFonts w:ascii="Times New Roman" w:hAnsi="Times New Roman" w:cs="Times New Roman"/>
          <w:noProof/>
          <w:sz w:val="24"/>
          <w:szCs w:val="24"/>
        </w:rPr>
        <w:t>2009)</w:t>
      </w:r>
      <w:r w:rsidRPr="00004A5E">
        <w:rPr>
          <w:rFonts w:ascii="Times New Roman" w:hAnsi="Times New Roman" w:cs="Times New Roman"/>
          <w:sz w:val="24"/>
          <w:szCs w:val="24"/>
        </w:rPr>
        <w:fldChar w:fldCharType="end"/>
      </w:r>
      <w:r w:rsidR="002433C1" w:rsidRPr="00004A5E">
        <w:rPr>
          <w:rFonts w:ascii="Times New Roman" w:hAnsi="Times New Roman" w:cs="Times New Roman"/>
          <w:sz w:val="24"/>
          <w:szCs w:val="24"/>
        </w:rPr>
        <w:t xml:space="preserve"> break down control over the internet into three dimensions: access, functionality, and activity. </w:t>
      </w:r>
      <w:r w:rsidR="00351A6D" w:rsidRPr="00004A5E">
        <w:rPr>
          <w:rFonts w:ascii="Times New Roman" w:hAnsi="Times New Roman" w:cs="Times New Roman"/>
          <w:sz w:val="24"/>
          <w:szCs w:val="24"/>
        </w:rPr>
        <w:t xml:space="preserve">The first dimension, controlling internet access, </w:t>
      </w:r>
      <w:r w:rsidR="00592664" w:rsidRPr="00004A5E">
        <w:rPr>
          <w:rFonts w:ascii="Times New Roman" w:hAnsi="Times New Roman" w:cs="Times New Roman"/>
          <w:sz w:val="24"/>
          <w:szCs w:val="24"/>
        </w:rPr>
        <w:t xml:space="preserve">translates into blocking internet access during manifestations. </w:t>
      </w:r>
      <w:r w:rsidR="00E97814" w:rsidRPr="00004A5E">
        <w:rPr>
          <w:rFonts w:ascii="Times New Roman" w:hAnsi="Times New Roman" w:cs="Times New Roman"/>
          <w:sz w:val="24"/>
          <w:szCs w:val="24"/>
        </w:rPr>
        <w:t>In Europe and the United States, governments have neither the jurisdiction nor the power to demand</w:t>
      </w:r>
      <w:r w:rsidR="0076089E" w:rsidRPr="00004A5E">
        <w:rPr>
          <w:rFonts w:ascii="Times New Roman" w:hAnsi="Times New Roman" w:cs="Times New Roman"/>
          <w:sz w:val="24"/>
          <w:szCs w:val="24"/>
        </w:rPr>
        <w:t xml:space="preserve"> the deactivation of</w:t>
      </w:r>
      <w:r w:rsidR="00E97814" w:rsidRPr="00004A5E">
        <w:rPr>
          <w:rFonts w:ascii="Times New Roman" w:hAnsi="Times New Roman" w:cs="Times New Roman"/>
          <w:sz w:val="24"/>
          <w:szCs w:val="24"/>
        </w:rPr>
        <w:t xml:space="preserve"> </w:t>
      </w:r>
      <w:r w:rsidR="0076089E" w:rsidRPr="00004A5E">
        <w:rPr>
          <w:rFonts w:ascii="Times New Roman" w:hAnsi="Times New Roman" w:cs="Times New Roman"/>
          <w:sz w:val="24"/>
          <w:szCs w:val="24"/>
        </w:rPr>
        <w:t>the entire network.</w:t>
      </w:r>
      <w:r w:rsidR="00E97814" w:rsidRPr="00004A5E">
        <w:rPr>
          <w:rFonts w:ascii="Times New Roman" w:hAnsi="Times New Roman" w:cs="Times New Roman"/>
          <w:sz w:val="24"/>
          <w:szCs w:val="24"/>
        </w:rPr>
        <w:t xml:space="preserve"> </w:t>
      </w:r>
      <w:r w:rsidR="00713690" w:rsidRPr="00004A5E">
        <w:rPr>
          <w:rFonts w:ascii="Times New Roman" w:hAnsi="Times New Roman" w:cs="Times New Roman"/>
          <w:sz w:val="24"/>
          <w:szCs w:val="24"/>
        </w:rPr>
        <w:t xml:space="preserve">In the highest-profile case to date, California Bay Area Rapid Transit (BART) police disabled wireless signal at several metro stations during a period of 2011 unrest – and immediately received widespread </w:t>
      </w:r>
      <w:r w:rsidR="00F23C09" w:rsidRPr="00004A5E">
        <w:rPr>
          <w:rFonts w:ascii="Times New Roman" w:hAnsi="Times New Roman" w:cs="Times New Roman"/>
          <w:sz w:val="24"/>
          <w:szCs w:val="24"/>
        </w:rPr>
        <w:t xml:space="preserve">criticism and comparisons to </w:t>
      </w:r>
      <w:r w:rsidR="00F206C0" w:rsidRPr="00004A5E">
        <w:rPr>
          <w:rFonts w:ascii="Times New Roman" w:hAnsi="Times New Roman" w:cs="Times New Roman"/>
          <w:sz w:val="24"/>
          <w:szCs w:val="24"/>
        </w:rPr>
        <w:t>the former Egyptian dictator Hosni Mubarak</w:t>
      </w:r>
      <w:r w:rsidR="00713690" w:rsidRPr="00004A5E">
        <w:rPr>
          <w:rFonts w:ascii="Times New Roman" w:hAnsi="Times New Roman" w:cs="Times New Roman"/>
          <w:sz w:val="24"/>
          <w:szCs w:val="24"/>
        </w:rPr>
        <w:t xml:space="preserve"> </w:t>
      </w:r>
      <w:r w:rsidRPr="00004A5E">
        <w:rPr>
          <w:rFonts w:ascii="Times New Roman" w:hAnsi="Times New Roman" w:cs="Times New Roman"/>
          <w:sz w:val="24"/>
          <w:szCs w:val="24"/>
        </w:rPr>
        <w:fldChar w:fldCharType="begin" w:fldLock="1"/>
      </w:r>
      <w:r w:rsidR="003C58B3" w:rsidRPr="00004A5E">
        <w:rPr>
          <w:rFonts w:ascii="Times New Roman" w:hAnsi="Times New Roman" w:cs="Times New Roman"/>
          <w:sz w:val="24"/>
          <w:szCs w:val="24"/>
        </w:rPr>
        <w:instrText>ADDIN CSL_CITATION { "citationItems" : [ { "id" : "ITEM-1", "itemData" : { "author" : [ { "dropping-particle" : "", "family" : "Chittum", "given" : "Thomas L. III", "non-dropping-particle" : "", "parse-names" : false, "suffix" : "" } ], "container-title" : "Nevada Law Journal", "id" : "ITEM-1", "issue" : "1", "issued" : { "date-parts" : [ [ "2012" ] ] }, "page" : "257-289", "title" : "Can You Hear Me Now? Cell Phone Jamming and the Tenth Amendment", "type" : "article-journal", "volume" : "13" }, "uris" : [ "http://www.mendeley.com/documents/?uuid=d4bf2712-b4f0-4d66-8b7e-9535e890b28c" ] }, { "id" : "ITEM-2", "itemData" : { "URL" : "http://techcrunch.com/2011/08/12/barts-interference-in-subway-protests-a-step-in-the-wrong-direction-for-digital-freedoms/", "author" : [ { "dropping-particle" : "", "family" : "Empson", "given" : "Rip", "non-dropping-particle" : "", "parse-names" : false, "suffix" : "" } ], "container-title" : "Tech Crunch", "id" : "ITEM-2", "issued" : { "date-parts" : [ [ "2011" ] ] }, "title" : "BART\u2019s Interference In Subway Protests, A Step In The Wrong Direction For Digital Freedoms", "type" : "webpage" }, "uris" : [ "http://www.mendeley.com/documents/?uuid=0aefd4e6-9b63-48cb-bb1a-c49ebeaa1cde" ] }, { "id" : "ITEM-3", "itemData" : { "URL" : "http://www.cnet.com/news/s-f-subway-muzzles-cell-service-during-protest/", "author" : [ { "dropping-particle" : "", "family" : "Mills", "given" : "Elinor", "non-dropping-particle" : "", "parse-names" : false, "suffix" : "" } ], "container-title" : "CNET News", "id" : "ITEM-3", "issued" : { "date-parts" : [ [ "2011" ] ] }, "title" : "S.F. subway muzzles cell service during protest", "type" : "webpage" }, "uris" : [ "http://www.mendeley.com/documents/?uuid=d4b68c59-773b-4231-a98b-0feb7d35b9ad" ] } ], "mendeley" : { "formattedCitation" : "(Chittum, 2012; Empson, 2011; Mills, 2011)", "plainTextFormattedCitation" : "(Chittum, 2012; Empson, 2011; Mills, 2011)", "previouslyFormattedCitation" : "(Chittum, 2012; Empson, 2011; Mills, 2011)" }, "properties" : { "noteIndex" : 0 }, "schema" : "https://github.com/citation-style-language/schema/raw/master/csl-citation.json" }</w:instrText>
      </w:r>
      <w:r w:rsidRPr="00004A5E">
        <w:rPr>
          <w:rFonts w:ascii="Times New Roman" w:hAnsi="Times New Roman" w:cs="Times New Roman"/>
          <w:sz w:val="24"/>
          <w:szCs w:val="24"/>
        </w:rPr>
        <w:fldChar w:fldCharType="separate"/>
      </w:r>
      <w:r w:rsidR="00F23C09" w:rsidRPr="00004A5E">
        <w:rPr>
          <w:rFonts w:ascii="Times New Roman" w:hAnsi="Times New Roman" w:cs="Times New Roman"/>
          <w:noProof/>
          <w:sz w:val="24"/>
          <w:szCs w:val="24"/>
        </w:rPr>
        <w:t>(Chittum, 2012; Empson, 2011; Mills, 2011)</w:t>
      </w:r>
      <w:r w:rsidRPr="00004A5E">
        <w:rPr>
          <w:rFonts w:ascii="Times New Roman" w:hAnsi="Times New Roman" w:cs="Times New Roman"/>
          <w:sz w:val="24"/>
          <w:szCs w:val="24"/>
        </w:rPr>
        <w:fldChar w:fldCharType="end"/>
      </w:r>
      <w:r w:rsidR="00713690" w:rsidRPr="00004A5E">
        <w:rPr>
          <w:rFonts w:ascii="Times New Roman" w:hAnsi="Times New Roman" w:cs="Times New Roman"/>
          <w:sz w:val="24"/>
          <w:szCs w:val="24"/>
        </w:rPr>
        <w:t xml:space="preserve">. </w:t>
      </w:r>
    </w:p>
    <w:p w:rsidR="005420E4" w:rsidRPr="00004A5E" w:rsidRDefault="00F206C0" w:rsidP="00F206C0">
      <w:pPr>
        <w:spacing w:line="480" w:lineRule="auto"/>
        <w:ind w:firstLine="720"/>
        <w:rPr>
          <w:rFonts w:ascii="Times New Roman" w:hAnsi="Times New Roman" w:cs="Times New Roman"/>
          <w:sz w:val="24"/>
          <w:szCs w:val="24"/>
        </w:rPr>
      </w:pPr>
      <w:r w:rsidRPr="00004A5E">
        <w:rPr>
          <w:rFonts w:ascii="Times New Roman" w:hAnsi="Times New Roman" w:cs="Times New Roman"/>
          <w:sz w:val="24"/>
          <w:szCs w:val="24"/>
        </w:rPr>
        <w:t>Less disruptive</w:t>
      </w:r>
      <w:r w:rsidR="00F56BD2">
        <w:rPr>
          <w:rFonts w:ascii="Times New Roman" w:hAnsi="Times New Roman" w:cs="Times New Roman"/>
          <w:sz w:val="24"/>
          <w:szCs w:val="24"/>
        </w:rPr>
        <w:t>, less restricted, and harder to trace</w:t>
      </w:r>
      <w:r w:rsidRPr="00004A5E">
        <w:rPr>
          <w:rFonts w:ascii="Times New Roman" w:hAnsi="Times New Roman" w:cs="Times New Roman"/>
          <w:sz w:val="24"/>
          <w:szCs w:val="24"/>
        </w:rPr>
        <w:t xml:space="preserve"> technologies exist in the form of signal jammers and IMSI catchers. </w:t>
      </w:r>
      <w:r w:rsidR="0076089E" w:rsidRPr="00004A5E">
        <w:rPr>
          <w:rFonts w:ascii="Times New Roman" w:hAnsi="Times New Roman" w:cs="Times New Roman"/>
          <w:sz w:val="24"/>
          <w:szCs w:val="24"/>
        </w:rPr>
        <w:t>A signal jammer is a device which emits powerful signals at frequencies designed to d</w:t>
      </w:r>
      <w:r w:rsidR="00713690" w:rsidRPr="00004A5E">
        <w:rPr>
          <w:rFonts w:ascii="Times New Roman" w:hAnsi="Times New Roman" w:cs="Times New Roman"/>
          <w:sz w:val="24"/>
          <w:szCs w:val="24"/>
        </w:rPr>
        <w:t>isrupt all electromagnetic c</w:t>
      </w:r>
      <w:r w:rsidR="0076089E" w:rsidRPr="00004A5E">
        <w:rPr>
          <w:rFonts w:ascii="Times New Roman" w:hAnsi="Times New Roman" w:cs="Times New Roman"/>
          <w:sz w:val="24"/>
          <w:szCs w:val="24"/>
        </w:rPr>
        <w:t>ommunication</w:t>
      </w:r>
      <w:r w:rsidRPr="00004A5E">
        <w:rPr>
          <w:rFonts w:ascii="Times New Roman" w:hAnsi="Times New Roman" w:cs="Times New Roman"/>
          <w:sz w:val="24"/>
          <w:szCs w:val="24"/>
        </w:rPr>
        <w:t xml:space="preserve"> in a limited area</w:t>
      </w:r>
      <w:r w:rsidR="0076089E" w:rsidRPr="00004A5E">
        <w:rPr>
          <w:rFonts w:ascii="Times New Roman" w:hAnsi="Times New Roman" w:cs="Times New Roman"/>
          <w:sz w:val="24"/>
          <w:szCs w:val="24"/>
        </w:rPr>
        <w:t xml:space="preserve">. They are relatively simple to manufacture, and are produced around the world. </w:t>
      </w:r>
      <w:r w:rsidR="005420E4" w:rsidRPr="00004A5E">
        <w:rPr>
          <w:rFonts w:ascii="Times New Roman" w:hAnsi="Times New Roman" w:cs="Times New Roman"/>
          <w:sz w:val="24"/>
          <w:szCs w:val="24"/>
        </w:rPr>
        <w:t xml:space="preserve">If activated in a protest zone, a jammer would indiscriminately block all </w:t>
      </w:r>
      <w:r w:rsidR="00D10CEF">
        <w:rPr>
          <w:rFonts w:ascii="Times New Roman" w:hAnsi="Times New Roman" w:cs="Times New Roman"/>
          <w:sz w:val="24"/>
          <w:szCs w:val="24"/>
        </w:rPr>
        <w:t>radio-frequency-based</w:t>
      </w:r>
      <w:r w:rsidR="001D32DA" w:rsidRPr="00004A5E">
        <w:rPr>
          <w:rFonts w:ascii="Times New Roman" w:hAnsi="Times New Roman" w:cs="Times New Roman"/>
          <w:sz w:val="24"/>
          <w:szCs w:val="24"/>
        </w:rPr>
        <w:t>-</w:t>
      </w:r>
      <w:r w:rsidR="005420E4" w:rsidRPr="00004A5E">
        <w:rPr>
          <w:rFonts w:ascii="Times New Roman" w:hAnsi="Times New Roman" w:cs="Times New Roman"/>
          <w:sz w:val="24"/>
          <w:szCs w:val="24"/>
        </w:rPr>
        <w:t>communication within its range.</w:t>
      </w:r>
      <w:r w:rsidR="00713690" w:rsidRPr="00004A5E">
        <w:rPr>
          <w:rFonts w:ascii="Times New Roman" w:hAnsi="Times New Roman" w:cs="Times New Roman"/>
          <w:sz w:val="24"/>
          <w:szCs w:val="24"/>
        </w:rPr>
        <w:t xml:space="preserve"> </w:t>
      </w:r>
      <w:r w:rsidR="005420E4" w:rsidRPr="00004A5E">
        <w:rPr>
          <w:rFonts w:ascii="Times New Roman" w:hAnsi="Times New Roman" w:cs="Times New Roman"/>
          <w:sz w:val="24"/>
          <w:szCs w:val="24"/>
        </w:rPr>
        <w:t xml:space="preserve">Private firms </w:t>
      </w:r>
      <w:r w:rsidR="003C58B3" w:rsidRPr="00004A5E">
        <w:rPr>
          <w:rFonts w:ascii="Times New Roman" w:hAnsi="Times New Roman" w:cs="Times New Roman"/>
          <w:sz w:val="24"/>
          <w:szCs w:val="24"/>
        </w:rPr>
        <w:t xml:space="preserve">from all over the world </w:t>
      </w:r>
      <w:r w:rsidR="005420E4" w:rsidRPr="00004A5E">
        <w:rPr>
          <w:rFonts w:ascii="Times New Roman" w:hAnsi="Times New Roman" w:cs="Times New Roman"/>
          <w:sz w:val="24"/>
          <w:szCs w:val="24"/>
        </w:rPr>
        <w:t xml:space="preserve">manufacture such jammers, including models which are </w:t>
      </w:r>
      <w:r w:rsidR="001D32DA" w:rsidRPr="00004A5E">
        <w:rPr>
          <w:rFonts w:ascii="Times New Roman" w:hAnsi="Times New Roman" w:cs="Times New Roman"/>
          <w:sz w:val="24"/>
          <w:szCs w:val="24"/>
        </w:rPr>
        <w:t xml:space="preserve">built into </w:t>
      </w:r>
      <w:r w:rsidR="005420E4" w:rsidRPr="00004A5E">
        <w:rPr>
          <w:rFonts w:ascii="Times New Roman" w:hAnsi="Times New Roman" w:cs="Times New Roman"/>
          <w:sz w:val="24"/>
          <w:szCs w:val="24"/>
        </w:rPr>
        <w:t xml:space="preserve">normal-looking cars and developed for the express purpose of </w:t>
      </w:r>
      <w:r w:rsidR="002B4D04">
        <w:rPr>
          <w:rFonts w:ascii="Times New Roman" w:hAnsi="Times New Roman" w:cs="Times New Roman"/>
          <w:sz w:val="24"/>
          <w:szCs w:val="24"/>
        </w:rPr>
        <w:t>disrupting</w:t>
      </w:r>
      <w:r w:rsidR="001D32DA" w:rsidRPr="00004A5E">
        <w:rPr>
          <w:rFonts w:ascii="Times New Roman" w:hAnsi="Times New Roman" w:cs="Times New Roman"/>
          <w:sz w:val="24"/>
          <w:szCs w:val="24"/>
        </w:rPr>
        <w:t xml:space="preserve"> mass demonstrations</w:t>
      </w:r>
      <w:r w:rsidR="003C58B3" w:rsidRPr="00004A5E">
        <w:rPr>
          <w:rFonts w:ascii="Times New Roman" w:hAnsi="Times New Roman" w:cs="Times New Roman"/>
          <w:sz w:val="24"/>
          <w:szCs w:val="24"/>
        </w:rPr>
        <w:t xml:space="preserve"> </w:t>
      </w:r>
      <w:r w:rsidR="007C356F" w:rsidRPr="00004A5E">
        <w:rPr>
          <w:rFonts w:ascii="Times New Roman" w:hAnsi="Times New Roman" w:cs="Times New Roman"/>
          <w:sz w:val="24"/>
          <w:szCs w:val="24"/>
        </w:rPr>
        <w:fldChar w:fldCharType="begin" w:fldLock="1"/>
      </w:r>
      <w:r w:rsidR="007B27F6">
        <w:rPr>
          <w:rFonts w:ascii="Times New Roman" w:hAnsi="Times New Roman" w:cs="Times New Roman"/>
          <w:sz w:val="24"/>
          <w:szCs w:val="24"/>
        </w:rPr>
        <w:instrText>ADDIN CSL_CITATION { "citationItems" : [ { "id" : "ITEM-1", "itemData" : { "URL" : "http://www.tangreat.com/en/solutions-default-3.html", "accessed" : { "date-parts" : [ [ "2015", "5", "20" ] ] }, "container-title" : "TANGREAT Technology", "id" : "ITEM-1", "issued" : { "date-parts" : [ [ "2014" ] ] }, "title" : "Vehicular Jamming Solution", "type" : "webpage" }, "uris" : [ "http://www.mendeley.com/documents/?uuid=29258645-fba7-4f97-86fb-bed8babb73e0" ] } ], "mendeley" : { "formattedCitation" : "(\u201cVehicular Jamming Solution,\u201d 2014)", "plainTextFormattedCitation" : "(\u201cVehicular Jamming Solution,\u201d 2014)", "previouslyFormattedCitation" : "(\u201cVehicular Jamming Solution,\u201d 2014)" }, "properties" : { "noteIndex" : 0 }, "schema" : "https://github.com/citation-style-language/schema/raw/master/csl-citation.json" }</w:instrText>
      </w:r>
      <w:r w:rsidR="007C356F" w:rsidRPr="00004A5E">
        <w:rPr>
          <w:rFonts w:ascii="Times New Roman" w:hAnsi="Times New Roman" w:cs="Times New Roman"/>
          <w:sz w:val="24"/>
          <w:szCs w:val="24"/>
        </w:rPr>
        <w:fldChar w:fldCharType="separate"/>
      </w:r>
      <w:r w:rsidR="007B27F6" w:rsidRPr="007B27F6">
        <w:rPr>
          <w:rFonts w:ascii="Times New Roman" w:hAnsi="Times New Roman" w:cs="Times New Roman"/>
          <w:noProof/>
          <w:sz w:val="24"/>
          <w:szCs w:val="24"/>
        </w:rPr>
        <w:t>(“Vehicular Jamming Solution,” 2014)</w:t>
      </w:r>
      <w:r w:rsidR="007C356F" w:rsidRPr="00004A5E">
        <w:rPr>
          <w:rFonts w:ascii="Times New Roman" w:hAnsi="Times New Roman" w:cs="Times New Roman"/>
          <w:sz w:val="24"/>
          <w:szCs w:val="24"/>
        </w:rPr>
        <w:fldChar w:fldCharType="end"/>
      </w:r>
      <w:r w:rsidR="00D10CEF">
        <w:rPr>
          <w:rFonts w:ascii="Times New Roman" w:hAnsi="Times New Roman" w:cs="Times New Roman"/>
          <w:sz w:val="24"/>
          <w:szCs w:val="24"/>
        </w:rPr>
        <w:t xml:space="preserve"> but also for other purposes, such as protection from Improvised Explosive Devices in warzones </w:t>
      </w:r>
      <w:r w:rsidR="007C356F">
        <w:rPr>
          <w:rFonts w:ascii="Times New Roman" w:hAnsi="Times New Roman" w:cs="Times New Roman"/>
          <w:sz w:val="24"/>
          <w:szCs w:val="24"/>
        </w:rPr>
        <w:fldChar w:fldCharType="begin" w:fldLock="1"/>
      </w:r>
      <w:r w:rsidR="00D10CEF">
        <w:rPr>
          <w:rFonts w:ascii="Times New Roman" w:hAnsi="Times New Roman" w:cs="Times New Roman"/>
          <w:sz w:val="24"/>
          <w:szCs w:val="24"/>
        </w:rPr>
        <w:instrText>ADDIN CSL_CITATION { "citationItems" : [ { "id" : "ITEM-1", "itemData" : { "URL" : "http://www.selex-es.com/documents/737448/20290936/body_Copy+of+mm07433_Guardian_IED_Suppression_LQ_.pdf", "accessed" : { "date-parts" : [ [ "2015", "5", "20" ] ] }, "container-title" : "SELEX", "id" : "ITEM-1", "issued" : { "date-parts" : [ [ "0" ] ] }, "title" : "Selex GUARDIAN", "type" : "webpage" }, "uris" : [ "http://www.mendeley.com/documents/?uuid=897f105a-8d27-41b1-8fd3-043bbc4c1271" ] } ], "mendeley" : { "formattedCitation" : "(\u201cSelex GUARDIAN,\u201d n.d.)", "manualFormatting" : "(\u201cSelex ES GUARDIAN,\u201d n.d.)", "plainTextFormattedCitation" : "(\u201cSelex GUARDIAN,\u201d n.d.)", "previouslyFormattedCitation" : "(\u201cSelex GUARDIAN,\u201d n.d.)" }, "properties" : { "noteIndex" : 0 }, "schema" : "https://github.com/citation-style-language/schema/raw/master/csl-citation.json" }</w:instrText>
      </w:r>
      <w:r w:rsidR="007C356F">
        <w:rPr>
          <w:rFonts w:ascii="Times New Roman" w:hAnsi="Times New Roman" w:cs="Times New Roman"/>
          <w:sz w:val="24"/>
          <w:szCs w:val="24"/>
        </w:rPr>
        <w:fldChar w:fldCharType="separate"/>
      </w:r>
      <w:r w:rsidR="00D10CEF" w:rsidRPr="00D10CEF">
        <w:rPr>
          <w:rFonts w:ascii="Times New Roman" w:hAnsi="Times New Roman" w:cs="Times New Roman"/>
          <w:noProof/>
          <w:sz w:val="24"/>
          <w:szCs w:val="24"/>
        </w:rPr>
        <w:t>(“Selex</w:t>
      </w:r>
      <w:r w:rsidR="00D10CEF">
        <w:rPr>
          <w:rFonts w:ascii="Times New Roman" w:hAnsi="Times New Roman" w:cs="Times New Roman"/>
          <w:noProof/>
          <w:sz w:val="24"/>
          <w:szCs w:val="24"/>
        </w:rPr>
        <w:t xml:space="preserve"> ES</w:t>
      </w:r>
      <w:r w:rsidR="00D10CEF" w:rsidRPr="00D10CEF">
        <w:rPr>
          <w:rFonts w:ascii="Times New Roman" w:hAnsi="Times New Roman" w:cs="Times New Roman"/>
          <w:noProof/>
          <w:sz w:val="24"/>
          <w:szCs w:val="24"/>
        </w:rPr>
        <w:t xml:space="preserve"> GUARDIAN,” n.d.)</w:t>
      </w:r>
      <w:r w:rsidR="007C356F">
        <w:rPr>
          <w:rFonts w:ascii="Times New Roman" w:hAnsi="Times New Roman" w:cs="Times New Roman"/>
          <w:sz w:val="24"/>
          <w:szCs w:val="24"/>
        </w:rPr>
        <w:fldChar w:fldCharType="end"/>
      </w:r>
      <w:r w:rsidR="003973FC">
        <w:rPr>
          <w:rFonts w:ascii="Times New Roman" w:hAnsi="Times New Roman" w:cs="Times New Roman"/>
          <w:sz w:val="24"/>
          <w:szCs w:val="24"/>
        </w:rPr>
        <w:t>.</w:t>
      </w:r>
    </w:p>
    <w:p w:rsidR="003973FC" w:rsidRDefault="005420E4" w:rsidP="00592664">
      <w:pPr>
        <w:spacing w:line="480" w:lineRule="auto"/>
        <w:ind w:firstLine="720"/>
        <w:rPr>
          <w:rFonts w:ascii="Times New Roman" w:hAnsi="Times New Roman" w:cs="Times New Roman"/>
          <w:sz w:val="24"/>
          <w:szCs w:val="24"/>
        </w:rPr>
      </w:pPr>
      <w:r w:rsidRPr="00004A5E">
        <w:rPr>
          <w:rFonts w:ascii="Times New Roman" w:hAnsi="Times New Roman" w:cs="Times New Roman"/>
          <w:sz w:val="24"/>
          <w:szCs w:val="24"/>
        </w:rPr>
        <w:t xml:space="preserve">The second tool at the disposal of governments are IMSI </w:t>
      </w:r>
      <w:r w:rsidR="00870C3E" w:rsidRPr="00004A5E">
        <w:rPr>
          <w:rFonts w:ascii="Times New Roman" w:hAnsi="Times New Roman" w:cs="Times New Roman"/>
          <w:sz w:val="24"/>
          <w:szCs w:val="24"/>
        </w:rPr>
        <w:t>catchers</w:t>
      </w:r>
      <w:r w:rsidR="003C5BA8" w:rsidRPr="00004A5E">
        <w:rPr>
          <w:rFonts w:ascii="Times New Roman" w:hAnsi="Times New Roman" w:cs="Times New Roman"/>
          <w:sz w:val="24"/>
          <w:szCs w:val="24"/>
        </w:rPr>
        <w:t>:</w:t>
      </w:r>
      <w:r w:rsidRPr="00004A5E">
        <w:rPr>
          <w:rFonts w:ascii="Times New Roman" w:hAnsi="Times New Roman" w:cs="Times New Roman"/>
          <w:sz w:val="24"/>
          <w:szCs w:val="24"/>
        </w:rPr>
        <w:t xml:space="preserve"> fake cell towers that trick cell phones into con</w:t>
      </w:r>
      <w:r w:rsidR="003C5BA8" w:rsidRPr="00004A5E">
        <w:rPr>
          <w:rFonts w:ascii="Times New Roman" w:hAnsi="Times New Roman" w:cs="Times New Roman"/>
          <w:sz w:val="24"/>
          <w:szCs w:val="24"/>
        </w:rPr>
        <w:t>necting with them instead of</w:t>
      </w:r>
      <w:r w:rsidRPr="00004A5E">
        <w:rPr>
          <w:rFonts w:ascii="Times New Roman" w:hAnsi="Times New Roman" w:cs="Times New Roman"/>
          <w:sz w:val="24"/>
          <w:szCs w:val="24"/>
        </w:rPr>
        <w:t xml:space="preserve"> real </w:t>
      </w:r>
      <w:r w:rsidR="003C5BA8" w:rsidRPr="00004A5E">
        <w:rPr>
          <w:rFonts w:ascii="Times New Roman" w:hAnsi="Times New Roman" w:cs="Times New Roman"/>
          <w:sz w:val="24"/>
          <w:szCs w:val="24"/>
        </w:rPr>
        <w:t>cell towers</w:t>
      </w:r>
      <w:r w:rsidRPr="00004A5E">
        <w:rPr>
          <w:rFonts w:ascii="Times New Roman" w:hAnsi="Times New Roman" w:cs="Times New Roman"/>
          <w:sz w:val="24"/>
          <w:szCs w:val="24"/>
        </w:rPr>
        <w:t xml:space="preserve">. </w:t>
      </w:r>
      <w:r w:rsidR="003C5BA8" w:rsidRPr="00004A5E">
        <w:rPr>
          <w:rFonts w:ascii="Times New Roman" w:hAnsi="Times New Roman" w:cs="Times New Roman"/>
          <w:sz w:val="24"/>
          <w:szCs w:val="24"/>
        </w:rPr>
        <w:t xml:space="preserve">Unlike a signal jammer, an IMSI </w:t>
      </w:r>
      <w:r w:rsidR="00870C3E" w:rsidRPr="00004A5E">
        <w:rPr>
          <w:rFonts w:ascii="Times New Roman" w:hAnsi="Times New Roman" w:cs="Times New Roman"/>
          <w:sz w:val="24"/>
          <w:szCs w:val="24"/>
        </w:rPr>
        <w:t xml:space="preserve">catcher </w:t>
      </w:r>
      <w:r w:rsidR="003C5BA8" w:rsidRPr="00004A5E">
        <w:rPr>
          <w:rFonts w:ascii="Times New Roman" w:hAnsi="Times New Roman" w:cs="Times New Roman"/>
          <w:sz w:val="24"/>
          <w:szCs w:val="24"/>
        </w:rPr>
        <w:t>tracks ev</w:t>
      </w:r>
      <w:r w:rsidR="00870C3E" w:rsidRPr="00004A5E">
        <w:rPr>
          <w:rFonts w:ascii="Times New Roman" w:hAnsi="Times New Roman" w:cs="Times New Roman"/>
          <w:sz w:val="24"/>
          <w:szCs w:val="24"/>
        </w:rPr>
        <w:t xml:space="preserve">ery device that connects to it </w:t>
      </w:r>
      <w:r w:rsidR="003C5BA8" w:rsidRPr="00004A5E">
        <w:rPr>
          <w:rFonts w:ascii="Times New Roman" w:hAnsi="Times New Roman" w:cs="Times New Roman"/>
          <w:sz w:val="24"/>
          <w:szCs w:val="24"/>
        </w:rPr>
        <w:t xml:space="preserve">and </w:t>
      </w:r>
      <w:r w:rsidR="00870C3E" w:rsidRPr="00004A5E">
        <w:rPr>
          <w:rFonts w:ascii="Times New Roman" w:hAnsi="Times New Roman" w:cs="Times New Roman"/>
          <w:sz w:val="24"/>
          <w:szCs w:val="24"/>
        </w:rPr>
        <w:t xml:space="preserve">can </w:t>
      </w:r>
      <w:r w:rsidR="003C5BA8" w:rsidRPr="00004A5E">
        <w:rPr>
          <w:rFonts w:ascii="Times New Roman" w:hAnsi="Times New Roman" w:cs="Times New Roman"/>
          <w:sz w:val="24"/>
          <w:szCs w:val="24"/>
        </w:rPr>
        <w:t>serve as a man-in-the-middle in the n</w:t>
      </w:r>
      <w:r w:rsidR="00B32BC2" w:rsidRPr="00004A5E">
        <w:rPr>
          <w:rFonts w:ascii="Times New Roman" w:hAnsi="Times New Roman" w:cs="Times New Roman"/>
          <w:sz w:val="24"/>
          <w:szCs w:val="24"/>
        </w:rPr>
        <w:t>etwork</w:t>
      </w:r>
      <w:r w:rsidR="00F206C0" w:rsidRPr="00004A5E">
        <w:rPr>
          <w:rFonts w:ascii="Times New Roman" w:hAnsi="Times New Roman" w:cs="Times New Roman"/>
          <w:sz w:val="24"/>
          <w:szCs w:val="24"/>
        </w:rPr>
        <w:t>, reading everything</w:t>
      </w:r>
      <w:r w:rsidR="00870C3E" w:rsidRPr="00004A5E">
        <w:rPr>
          <w:rFonts w:ascii="Times New Roman" w:hAnsi="Times New Roman" w:cs="Times New Roman"/>
          <w:sz w:val="24"/>
          <w:szCs w:val="24"/>
        </w:rPr>
        <w:t>.</w:t>
      </w:r>
      <w:r w:rsidR="003C58B3" w:rsidRPr="00004A5E">
        <w:rPr>
          <w:rFonts w:ascii="Times New Roman" w:hAnsi="Times New Roman" w:cs="Times New Roman"/>
          <w:sz w:val="24"/>
          <w:szCs w:val="24"/>
        </w:rPr>
        <w:t xml:space="preserve"> IMSI catchers track all data sent through them and can be programmed to allow or disallow any communication on a user-by-user basis. IMSI catchers can even deliberately run down the target’</w:t>
      </w:r>
      <w:r w:rsidR="009D308F" w:rsidRPr="00004A5E">
        <w:rPr>
          <w:rFonts w:ascii="Times New Roman" w:hAnsi="Times New Roman" w:cs="Times New Roman"/>
          <w:sz w:val="24"/>
          <w:szCs w:val="24"/>
        </w:rPr>
        <w:t xml:space="preserve">s smartphone battery </w:t>
      </w:r>
      <w:r w:rsidR="007C356F" w:rsidRPr="00004A5E">
        <w:rPr>
          <w:rFonts w:ascii="Times New Roman" w:hAnsi="Times New Roman" w:cs="Times New Roman"/>
          <w:sz w:val="24"/>
          <w:szCs w:val="24"/>
        </w:rPr>
        <w:fldChar w:fldCharType="begin" w:fldLock="1"/>
      </w:r>
      <w:r w:rsidR="004449C9" w:rsidRPr="00004A5E">
        <w:rPr>
          <w:rFonts w:ascii="Times New Roman" w:hAnsi="Times New Roman" w:cs="Times New Roman"/>
          <w:sz w:val="24"/>
          <w:szCs w:val="24"/>
        </w:rPr>
        <w:instrText>ADDIN CSL_CITATION { "citationItems" : [ { "id" : "ITEM-1", "itemData" : { "URL" : "http://www.rayzoneg.com/brochure_piranha.pdf", "accessed" : { "date-parts" : [ [ "2015", "5", "20" ] ] }, "container-title" : "Rayzone Group, Israel", "id" : "ITEM-1", "issued" : { "date-parts" : [ [ "0" ] ] }, "title" : "PIRANHA", "type" : "webpage" }, "uris" : [ "http://www.mendeley.com/documents/?uuid=658d2891-93ee-4a44-ad76-03bc7e9fcd56" ] } ], "mendeley" : { "formattedCitation" : "(\u201cPIRANHA,\u201d n.d.)", "plainTextFormattedCitation" : "(\u201cPIRANHA,\u201d n.d.)", "previouslyFormattedCitation" : "(\u201cPIRANHA,\u201d n.d.)" }, "properties" : { "noteIndex" : 0 }, "schema" : "https://github.com/citation-style-language/schema/raw/master/csl-citation.json" }</w:instrText>
      </w:r>
      <w:r w:rsidR="007C356F" w:rsidRPr="00004A5E">
        <w:rPr>
          <w:rFonts w:ascii="Times New Roman" w:hAnsi="Times New Roman" w:cs="Times New Roman"/>
          <w:sz w:val="24"/>
          <w:szCs w:val="24"/>
        </w:rPr>
        <w:fldChar w:fldCharType="separate"/>
      </w:r>
      <w:r w:rsidR="009D308F" w:rsidRPr="00004A5E">
        <w:rPr>
          <w:rFonts w:ascii="Times New Roman" w:hAnsi="Times New Roman" w:cs="Times New Roman"/>
          <w:noProof/>
          <w:sz w:val="24"/>
          <w:szCs w:val="24"/>
        </w:rPr>
        <w:t>(“PIRANHA,” n.d.)</w:t>
      </w:r>
      <w:r w:rsidR="007C356F" w:rsidRPr="00004A5E">
        <w:rPr>
          <w:rFonts w:ascii="Times New Roman" w:hAnsi="Times New Roman" w:cs="Times New Roman"/>
          <w:sz w:val="24"/>
          <w:szCs w:val="24"/>
        </w:rPr>
        <w:fldChar w:fldCharType="end"/>
      </w:r>
      <w:r w:rsidR="009D308F" w:rsidRPr="00004A5E">
        <w:rPr>
          <w:rFonts w:ascii="Times New Roman" w:hAnsi="Times New Roman" w:cs="Times New Roman"/>
          <w:sz w:val="24"/>
          <w:szCs w:val="24"/>
        </w:rPr>
        <w:t>.</w:t>
      </w:r>
      <w:r w:rsidR="003F0B3E" w:rsidRPr="00004A5E">
        <w:rPr>
          <w:rFonts w:ascii="Times New Roman" w:hAnsi="Times New Roman" w:cs="Times New Roman"/>
          <w:sz w:val="24"/>
          <w:szCs w:val="24"/>
        </w:rPr>
        <w:t xml:space="preserve"> </w:t>
      </w:r>
    </w:p>
    <w:p w:rsidR="00ED10BE" w:rsidRDefault="00F206C0" w:rsidP="00170ED2">
      <w:pPr>
        <w:spacing w:line="480" w:lineRule="auto"/>
        <w:ind w:firstLine="720"/>
        <w:rPr>
          <w:rFonts w:ascii="Times New Roman" w:hAnsi="Times New Roman" w:cs="Times New Roman"/>
          <w:sz w:val="24"/>
          <w:szCs w:val="24"/>
        </w:rPr>
      </w:pPr>
      <w:r w:rsidRPr="00004A5E">
        <w:rPr>
          <w:rFonts w:ascii="Times New Roman" w:hAnsi="Times New Roman" w:cs="Times New Roman"/>
          <w:sz w:val="24"/>
          <w:szCs w:val="24"/>
        </w:rPr>
        <w:t xml:space="preserve">If a government wants to crack down on a movement, it </w:t>
      </w:r>
      <w:r w:rsidR="003973FC">
        <w:rPr>
          <w:rFonts w:ascii="Times New Roman" w:hAnsi="Times New Roman" w:cs="Times New Roman"/>
          <w:sz w:val="24"/>
          <w:szCs w:val="24"/>
        </w:rPr>
        <w:t>can use several general tactics: infiltrate movement communications, track</w:t>
      </w:r>
      <w:r w:rsidR="00170ED2">
        <w:rPr>
          <w:rFonts w:ascii="Times New Roman" w:hAnsi="Times New Roman" w:cs="Times New Roman"/>
          <w:sz w:val="24"/>
          <w:szCs w:val="24"/>
        </w:rPr>
        <w:t xml:space="preserve"> the every move of</w:t>
      </w:r>
      <w:r w:rsidR="003973FC">
        <w:rPr>
          <w:rFonts w:ascii="Times New Roman" w:hAnsi="Times New Roman" w:cs="Times New Roman"/>
          <w:sz w:val="24"/>
          <w:szCs w:val="24"/>
        </w:rPr>
        <w:t xml:space="preserve"> individual users, and, if all else fails, jam the network completely.</w:t>
      </w:r>
      <w:r w:rsidR="00170ED2">
        <w:rPr>
          <w:rFonts w:ascii="Times New Roman" w:hAnsi="Times New Roman" w:cs="Times New Roman"/>
          <w:sz w:val="24"/>
          <w:szCs w:val="24"/>
        </w:rPr>
        <w:t xml:space="preserve"> </w:t>
      </w:r>
      <w:r w:rsidR="00ED10BE">
        <w:rPr>
          <w:rFonts w:ascii="Times New Roman" w:hAnsi="Times New Roman" w:cs="Times New Roman"/>
          <w:sz w:val="24"/>
          <w:szCs w:val="24"/>
        </w:rPr>
        <w:t>Western g</w:t>
      </w:r>
      <w:r w:rsidR="00170ED2">
        <w:rPr>
          <w:rFonts w:ascii="Times New Roman" w:hAnsi="Times New Roman" w:cs="Times New Roman"/>
          <w:sz w:val="24"/>
          <w:szCs w:val="24"/>
        </w:rPr>
        <w:t>overnments have never employed these techniques systematically and effectively</w:t>
      </w:r>
      <w:r w:rsidR="00ED10BE">
        <w:rPr>
          <w:rFonts w:ascii="Times New Roman" w:hAnsi="Times New Roman" w:cs="Times New Roman"/>
          <w:sz w:val="24"/>
          <w:szCs w:val="24"/>
        </w:rPr>
        <w:t>, thanks to strong democratic traditions</w:t>
      </w:r>
      <w:r w:rsidR="00170ED2">
        <w:rPr>
          <w:rFonts w:ascii="Times New Roman" w:hAnsi="Times New Roman" w:cs="Times New Roman"/>
          <w:sz w:val="24"/>
          <w:szCs w:val="24"/>
        </w:rPr>
        <w:t>, but the</w:t>
      </w:r>
      <w:r w:rsidR="00ED10BE">
        <w:rPr>
          <w:rFonts w:ascii="Times New Roman" w:hAnsi="Times New Roman" w:cs="Times New Roman"/>
          <w:sz w:val="24"/>
          <w:szCs w:val="24"/>
        </w:rPr>
        <w:t>y exist and could one day be used to stifle dissent – hence, they deserve mention for informed debate.</w:t>
      </w:r>
    </w:p>
    <w:p w:rsidR="007F71FE" w:rsidRPr="00004A5E" w:rsidRDefault="005E136A" w:rsidP="00ED10BE">
      <w:pPr>
        <w:pStyle w:val="Heading1"/>
        <w:jc w:val="center"/>
        <w:rPr>
          <w:rFonts w:ascii="Times New Roman" w:hAnsi="Times New Roman" w:cs="Times New Roman"/>
        </w:rPr>
      </w:pPr>
      <w:r w:rsidRPr="00004A5E">
        <w:rPr>
          <w:rFonts w:ascii="Times New Roman" w:hAnsi="Times New Roman" w:cs="Times New Roman"/>
        </w:rPr>
        <w:t xml:space="preserve">Part II: </w:t>
      </w:r>
      <w:r w:rsidR="007F71FE" w:rsidRPr="00004A5E">
        <w:rPr>
          <w:rFonts w:ascii="Times New Roman" w:hAnsi="Times New Roman" w:cs="Times New Roman"/>
        </w:rPr>
        <w:t>State of the Internet</w:t>
      </w:r>
    </w:p>
    <w:p w:rsidR="000C051B" w:rsidRPr="00004A5E" w:rsidRDefault="000C051B" w:rsidP="00CE1BF8">
      <w:pPr>
        <w:spacing w:line="480" w:lineRule="auto"/>
        <w:ind w:firstLine="720"/>
        <w:rPr>
          <w:rFonts w:ascii="Times New Roman" w:hAnsi="Times New Roman" w:cs="Times New Roman"/>
          <w:sz w:val="24"/>
          <w:szCs w:val="24"/>
        </w:rPr>
      </w:pPr>
      <w:r w:rsidRPr="00004A5E">
        <w:rPr>
          <w:rFonts w:ascii="Times New Roman" w:hAnsi="Times New Roman" w:cs="Times New Roman"/>
          <w:sz w:val="24"/>
          <w:szCs w:val="24"/>
        </w:rPr>
        <w:t>In the</w:t>
      </w:r>
      <w:r w:rsidR="00CE1BF8" w:rsidRPr="00004A5E">
        <w:rPr>
          <w:rFonts w:ascii="Times New Roman" w:hAnsi="Times New Roman" w:cs="Times New Roman"/>
          <w:sz w:val="24"/>
          <w:szCs w:val="24"/>
        </w:rPr>
        <w:t xml:space="preserve"> second part of this article, we shift focus from mass movement tactics and counter-tactics to a broader issue: how government policy shapes the interne</w:t>
      </w:r>
      <w:r w:rsidR="00ED10BE">
        <w:rPr>
          <w:rFonts w:ascii="Times New Roman" w:hAnsi="Times New Roman" w:cs="Times New Roman"/>
          <w:sz w:val="24"/>
          <w:szCs w:val="24"/>
        </w:rPr>
        <w:t xml:space="preserve">t. </w:t>
      </w:r>
    </w:p>
    <w:p w:rsidR="00C07934" w:rsidRPr="00004A5E" w:rsidRDefault="00C600CE" w:rsidP="0099624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Professor </w:t>
      </w:r>
      <w:r w:rsidR="0099624A" w:rsidRPr="00004A5E">
        <w:rPr>
          <w:rFonts w:ascii="Times New Roman" w:hAnsi="Times New Roman" w:cs="Times New Roman"/>
          <w:sz w:val="24"/>
          <w:szCs w:val="24"/>
        </w:rPr>
        <w:t>Siegel</w:t>
      </w:r>
      <w:r w:rsidR="0099624A" w:rsidRPr="00004A5E">
        <w:rPr>
          <w:rStyle w:val="FootnoteReference"/>
          <w:rFonts w:ascii="Times New Roman" w:hAnsi="Times New Roman" w:cs="Times New Roman"/>
          <w:sz w:val="24"/>
          <w:szCs w:val="24"/>
        </w:rPr>
        <w:footnoteReference w:id="2"/>
      </w:r>
      <w:r w:rsidR="0099624A" w:rsidRPr="00004A5E">
        <w:rPr>
          <w:rFonts w:ascii="Times New Roman" w:hAnsi="Times New Roman" w:cs="Times New Roman"/>
          <w:sz w:val="24"/>
          <w:szCs w:val="24"/>
        </w:rPr>
        <w:t xml:space="preserve"> </w:t>
      </w:r>
      <w:r>
        <w:rPr>
          <w:rFonts w:ascii="Times New Roman" w:hAnsi="Times New Roman" w:cs="Times New Roman"/>
          <w:sz w:val="24"/>
          <w:szCs w:val="24"/>
        </w:rPr>
        <w:t xml:space="preserve">of Duke University </w:t>
      </w:r>
      <w:r w:rsidR="0099624A" w:rsidRPr="00004A5E">
        <w:rPr>
          <w:rFonts w:ascii="Times New Roman" w:hAnsi="Times New Roman" w:cs="Times New Roman"/>
          <w:sz w:val="24"/>
          <w:szCs w:val="24"/>
        </w:rPr>
        <w:t xml:space="preserve">writes that information technology simultaneously improves the ability to coordinate dissent, and improves the ability of governments to intervene. Thus far, we have seen improved coordination of dissent, but effective digital resistance has been conspicuously absent. The lack of the second half is explained simply: </w:t>
      </w:r>
      <w:r w:rsidR="00986BFE" w:rsidRPr="00004A5E">
        <w:rPr>
          <w:rFonts w:ascii="Times New Roman" w:hAnsi="Times New Roman" w:cs="Times New Roman"/>
          <w:sz w:val="24"/>
          <w:szCs w:val="24"/>
        </w:rPr>
        <w:t xml:space="preserve">it has taken time for </w:t>
      </w:r>
      <w:r w:rsidR="0099624A" w:rsidRPr="00004A5E">
        <w:rPr>
          <w:rFonts w:ascii="Times New Roman" w:hAnsi="Times New Roman" w:cs="Times New Roman"/>
          <w:sz w:val="24"/>
          <w:szCs w:val="24"/>
        </w:rPr>
        <w:t>governments</w:t>
      </w:r>
      <w:r w:rsidR="00986BFE" w:rsidRPr="00004A5E">
        <w:rPr>
          <w:rFonts w:ascii="Times New Roman" w:hAnsi="Times New Roman" w:cs="Times New Roman"/>
          <w:sz w:val="24"/>
          <w:szCs w:val="24"/>
        </w:rPr>
        <w:t xml:space="preserve"> to learn how to put together </w:t>
      </w:r>
      <w:r w:rsidR="0099624A" w:rsidRPr="00004A5E">
        <w:rPr>
          <w:rFonts w:ascii="Times New Roman" w:hAnsi="Times New Roman" w:cs="Times New Roman"/>
          <w:sz w:val="24"/>
          <w:szCs w:val="24"/>
        </w:rPr>
        <w:t>effective counterstrateg</w:t>
      </w:r>
      <w:r w:rsidR="00986BFE" w:rsidRPr="00004A5E">
        <w:rPr>
          <w:rFonts w:ascii="Times New Roman" w:hAnsi="Times New Roman" w:cs="Times New Roman"/>
          <w:sz w:val="24"/>
          <w:szCs w:val="24"/>
        </w:rPr>
        <w:t>ies</w:t>
      </w:r>
      <w:r w:rsidR="0099624A" w:rsidRPr="00004A5E">
        <w:rPr>
          <w:rFonts w:ascii="Times New Roman" w:hAnsi="Times New Roman" w:cs="Times New Roman"/>
          <w:sz w:val="24"/>
          <w:szCs w:val="24"/>
        </w:rPr>
        <w:t xml:space="preserve">. </w:t>
      </w:r>
      <w:r w:rsidR="00CE1BF8" w:rsidRPr="00004A5E">
        <w:rPr>
          <w:rFonts w:ascii="Times New Roman" w:hAnsi="Times New Roman" w:cs="Times New Roman"/>
          <w:sz w:val="24"/>
          <w:szCs w:val="24"/>
        </w:rPr>
        <w:t>It</w:t>
      </w:r>
      <w:r w:rsidR="00400779" w:rsidRPr="00004A5E">
        <w:rPr>
          <w:rFonts w:ascii="Times New Roman" w:hAnsi="Times New Roman" w:cs="Times New Roman"/>
          <w:sz w:val="24"/>
          <w:szCs w:val="24"/>
        </w:rPr>
        <w:t xml:space="preserve"> i</w:t>
      </w:r>
      <w:r w:rsidR="00CE1BF8" w:rsidRPr="00004A5E">
        <w:rPr>
          <w:rFonts w:ascii="Times New Roman" w:hAnsi="Times New Roman" w:cs="Times New Roman"/>
          <w:sz w:val="24"/>
          <w:szCs w:val="24"/>
        </w:rPr>
        <w:t xml:space="preserve">s easy for an individual </w:t>
      </w:r>
      <w:r w:rsidR="004D43DC">
        <w:rPr>
          <w:rFonts w:ascii="Times New Roman" w:hAnsi="Times New Roman" w:cs="Times New Roman"/>
          <w:sz w:val="24"/>
          <w:szCs w:val="24"/>
        </w:rPr>
        <w:t xml:space="preserve">to distribute a message using </w:t>
      </w:r>
      <w:r w:rsidR="00CE1BF8" w:rsidRPr="00004A5E">
        <w:rPr>
          <w:rFonts w:ascii="Times New Roman" w:hAnsi="Times New Roman" w:cs="Times New Roman"/>
          <w:sz w:val="24"/>
          <w:szCs w:val="24"/>
        </w:rPr>
        <w:t xml:space="preserve">with an internet-connected device. </w:t>
      </w:r>
      <w:r w:rsidR="007F71FE" w:rsidRPr="00004A5E">
        <w:rPr>
          <w:rFonts w:ascii="Times New Roman" w:hAnsi="Times New Roman" w:cs="Times New Roman"/>
          <w:sz w:val="24"/>
          <w:szCs w:val="24"/>
        </w:rPr>
        <w:t xml:space="preserve">Governments, on the other hand, have been slow on the uptake due to bureaucratic inertia and a skill gap. In a </w:t>
      </w:r>
      <w:r w:rsidR="007C356F" w:rsidRPr="00004A5E">
        <w:rPr>
          <w:rFonts w:ascii="Times New Roman" w:hAnsi="Times New Roman" w:cs="Times New Roman"/>
          <w:sz w:val="24"/>
          <w:szCs w:val="24"/>
        </w:rPr>
        <w:fldChar w:fldCharType="begin" w:fldLock="1"/>
      </w:r>
      <w:r w:rsidR="007F71FE" w:rsidRPr="00004A5E">
        <w:rPr>
          <w:rFonts w:ascii="Times New Roman" w:hAnsi="Times New Roman" w:cs="Times New Roman"/>
          <w:sz w:val="24"/>
          <w:szCs w:val="24"/>
        </w:rPr>
        <w:instrText>ADDIN CSL_CITATION { "citationItems" : [ { "id" : "ITEM-1", "itemData" : { "ISSN" : "10867872", "author" : [ { "dropping-particle" : "", "family" : "Chen", "given" : "Cindy", "non-dropping-particle" : "", "parse-names" : false, "suffix" : "" } ], "container-title" : "University of Pennsylvania Journal of International Economic Law", "id" : "ITEM-1", "issue" : "Spring", "issued" : { "date-parts" : [ [ "2004" ] ] }, "page" : "423", "title" : "United States and European Union Approaches to Internet Jurisdiction and Their Impact on E-Commerce", "type" : "article-journal", "volume" : "25" }, "uris" : [ "http://www.mendeley.com/documents/?uuid=fdf93e91-00eb-49aa-a2c2-6756755b0ce9" ] } ], "mendeley" : { "formattedCitation" : "(Chen, 2004)", "manualFormatting" : "2004", "plainTextFormattedCitation" : "(Chen, 2004)", "previouslyFormattedCitation" : "(Chen, 2004)" }, "properties" : { "noteIndex" : 0 }, "schema" : "https://github.com/citation-style-language/schema/raw/master/csl-citation.json" }</w:instrText>
      </w:r>
      <w:r w:rsidR="007C356F" w:rsidRPr="00004A5E">
        <w:rPr>
          <w:rFonts w:ascii="Times New Roman" w:hAnsi="Times New Roman" w:cs="Times New Roman"/>
          <w:sz w:val="24"/>
          <w:szCs w:val="24"/>
        </w:rPr>
        <w:fldChar w:fldCharType="separate"/>
      </w:r>
      <w:r w:rsidR="007F71FE" w:rsidRPr="00004A5E">
        <w:rPr>
          <w:rFonts w:ascii="Times New Roman" w:hAnsi="Times New Roman" w:cs="Times New Roman"/>
          <w:noProof/>
          <w:sz w:val="24"/>
          <w:szCs w:val="24"/>
        </w:rPr>
        <w:t>2004</w:t>
      </w:r>
      <w:r w:rsidR="007C356F" w:rsidRPr="00004A5E">
        <w:rPr>
          <w:rFonts w:ascii="Times New Roman" w:hAnsi="Times New Roman" w:cs="Times New Roman"/>
          <w:sz w:val="24"/>
          <w:szCs w:val="24"/>
        </w:rPr>
        <w:fldChar w:fldCharType="end"/>
      </w:r>
      <w:r w:rsidR="007F71FE" w:rsidRPr="00004A5E">
        <w:rPr>
          <w:rFonts w:ascii="Times New Roman" w:hAnsi="Times New Roman" w:cs="Times New Roman"/>
          <w:sz w:val="24"/>
          <w:szCs w:val="24"/>
        </w:rPr>
        <w:t xml:space="preserve"> report comparing EU and US approaches to internet jurisdiction, Chen noted that the European Union in general, much less European gover</w:t>
      </w:r>
      <w:r w:rsidR="00CE1BF8" w:rsidRPr="00004A5E">
        <w:rPr>
          <w:rFonts w:ascii="Times New Roman" w:hAnsi="Times New Roman" w:cs="Times New Roman"/>
          <w:sz w:val="24"/>
          <w:szCs w:val="24"/>
        </w:rPr>
        <w:t>n</w:t>
      </w:r>
      <w:r w:rsidR="007F71FE" w:rsidRPr="00004A5E">
        <w:rPr>
          <w:rFonts w:ascii="Times New Roman" w:hAnsi="Times New Roman" w:cs="Times New Roman"/>
          <w:sz w:val="24"/>
          <w:szCs w:val="24"/>
        </w:rPr>
        <w:t>ments, lacked skilled</w:t>
      </w:r>
      <w:r w:rsidR="00617450" w:rsidRPr="00004A5E">
        <w:rPr>
          <w:rFonts w:ascii="Times New Roman" w:hAnsi="Times New Roman" w:cs="Times New Roman"/>
          <w:sz w:val="24"/>
          <w:szCs w:val="24"/>
        </w:rPr>
        <w:t xml:space="preserve"> information technology workers</w:t>
      </w:r>
      <w:r w:rsidR="007F71FE" w:rsidRPr="00004A5E">
        <w:rPr>
          <w:rFonts w:ascii="Times New Roman" w:hAnsi="Times New Roman" w:cs="Times New Roman"/>
          <w:sz w:val="24"/>
          <w:szCs w:val="24"/>
        </w:rPr>
        <w:t>. However,</w:t>
      </w:r>
      <w:r w:rsidR="00AE269E">
        <w:rPr>
          <w:rFonts w:ascii="Times New Roman" w:hAnsi="Times New Roman" w:cs="Times New Roman"/>
          <w:sz w:val="24"/>
          <w:szCs w:val="24"/>
        </w:rPr>
        <w:t xml:space="preserve"> we are finally seeing governments get over</w:t>
      </w:r>
      <w:r w:rsidR="007F71FE" w:rsidRPr="00004A5E">
        <w:rPr>
          <w:rFonts w:ascii="Times New Roman" w:hAnsi="Times New Roman" w:cs="Times New Roman"/>
          <w:sz w:val="24"/>
          <w:szCs w:val="24"/>
        </w:rPr>
        <w:t xml:space="preserve"> technical hurdles and</w:t>
      </w:r>
      <w:r w:rsidR="00AE269E">
        <w:rPr>
          <w:rFonts w:ascii="Times New Roman" w:hAnsi="Times New Roman" w:cs="Times New Roman"/>
          <w:sz w:val="24"/>
          <w:szCs w:val="24"/>
        </w:rPr>
        <w:t xml:space="preserve"> learn</w:t>
      </w:r>
      <w:r w:rsidR="007F71FE" w:rsidRPr="00004A5E">
        <w:rPr>
          <w:rFonts w:ascii="Times New Roman" w:hAnsi="Times New Roman" w:cs="Times New Roman"/>
          <w:sz w:val="24"/>
          <w:szCs w:val="24"/>
        </w:rPr>
        <w:t xml:space="preserve"> how to use these technologies in their favor. Italian technocrat Mario Monti expressed support for a European Single Market in a </w:t>
      </w:r>
      <w:r w:rsidR="007C356F" w:rsidRPr="00004A5E">
        <w:rPr>
          <w:rFonts w:ascii="Times New Roman" w:hAnsi="Times New Roman" w:cs="Times New Roman"/>
          <w:sz w:val="24"/>
          <w:szCs w:val="24"/>
        </w:rPr>
        <w:fldChar w:fldCharType="begin" w:fldLock="1"/>
      </w:r>
      <w:r w:rsidR="007F71FE" w:rsidRPr="00004A5E">
        <w:rPr>
          <w:rFonts w:ascii="Times New Roman" w:hAnsi="Times New Roman" w:cs="Times New Roman"/>
          <w:sz w:val="24"/>
          <w:szCs w:val="24"/>
        </w:rPr>
        <w:instrText>ADDIN CSL_CITATION { "citationItems" : [ { "id" : "ITEM-1", "itemData" : { "author" : [ { "dropping-particle" : "", "family" : "Monti", "given" : "Mario", "non-dropping-particle" : "", "parse-names" : false, "suffix" : "" } ], "container-title" : "Initiatives", "id" : "ITEM-1", "issue" : "May", "issued" : { "date-parts" : [ [ "2010" ] ] }, "title" : "A New Strategy for the Single Market", "type" : "article-journal" }, "uris" : [ "http://www.mendeley.com/documents/?uuid=f03dd587-31a4-45d6-9ca2-2698271ba08f" ] } ], "mendeley" : { "formattedCitation" : "(Monti, 2010)", "manualFormatting" : "2010", "plainTextFormattedCitation" : "(Monti, 2010)", "previouslyFormattedCitation" : "(Monti, 2010)" }, "properties" : { "noteIndex" : 0 }, "schema" : "https://github.com/citation-style-language/schema/raw/master/csl-citation.json" }</w:instrText>
      </w:r>
      <w:r w:rsidR="007C356F" w:rsidRPr="00004A5E">
        <w:rPr>
          <w:rFonts w:ascii="Times New Roman" w:hAnsi="Times New Roman" w:cs="Times New Roman"/>
          <w:sz w:val="24"/>
          <w:szCs w:val="24"/>
        </w:rPr>
        <w:fldChar w:fldCharType="separate"/>
      </w:r>
      <w:r w:rsidR="007F71FE" w:rsidRPr="00004A5E">
        <w:rPr>
          <w:rFonts w:ascii="Times New Roman" w:hAnsi="Times New Roman" w:cs="Times New Roman"/>
          <w:noProof/>
          <w:sz w:val="24"/>
          <w:szCs w:val="24"/>
        </w:rPr>
        <w:t>2010</w:t>
      </w:r>
      <w:r w:rsidR="007C356F" w:rsidRPr="00004A5E">
        <w:rPr>
          <w:rFonts w:ascii="Times New Roman" w:hAnsi="Times New Roman" w:cs="Times New Roman"/>
          <w:sz w:val="24"/>
          <w:szCs w:val="24"/>
        </w:rPr>
        <w:fldChar w:fldCharType="end"/>
      </w:r>
      <w:r w:rsidR="007F71FE" w:rsidRPr="00004A5E">
        <w:rPr>
          <w:rFonts w:ascii="Times New Roman" w:hAnsi="Times New Roman" w:cs="Times New Roman"/>
          <w:sz w:val="24"/>
          <w:szCs w:val="24"/>
        </w:rPr>
        <w:t xml:space="preserve"> report to the European Commission; this initiative was finally passed into law in early May of this year </w:t>
      </w:r>
      <w:r w:rsidR="007C356F" w:rsidRPr="00004A5E">
        <w:rPr>
          <w:rFonts w:ascii="Times New Roman" w:hAnsi="Times New Roman" w:cs="Times New Roman"/>
          <w:sz w:val="24"/>
          <w:szCs w:val="24"/>
        </w:rPr>
        <w:fldChar w:fldCharType="begin" w:fldLock="1"/>
      </w:r>
      <w:r w:rsidR="00B51540" w:rsidRPr="00004A5E">
        <w:rPr>
          <w:rFonts w:ascii="Times New Roman" w:hAnsi="Times New Roman" w:cs="Times New Roman"/>
          <w:sz w:val="24"/>
          <w:szCs w:val="24"/>
        </w:rPr>
        <w:instrText>ADDIN CSL_CITATION { "citationItems" : [ { "id" : "ITEM-1", "itemData" : { "author" : [ { "dropping-particle" : "", "family" : "Traynor", "given" : "Ian", "non-dropping-particle" : "", "parse-names" : false, "suffix" : "" } ], "container-title" : "The Guardian", "id" : "ITEM-1", "issued" : { "date-parts" : [ [ "2015" ] ] }, "title" : "EU unveils plans to set up digital single market for online firms", "type" : "article-newspaper" }, "uris" : [ "http://www.mendeley.com/documents/?uuid=4a94dc05-a724-4e57-9ff0-8d835f8da9f9" ] } ], "mendeley" : { "formattedCitation" : "(Traynor, 2015)", "plainTextFormattedCitation" : "(Traynor, 2015)", "previouslyFormattedCitation" : "(Traynor, 2015)" }, "properties" : { "noteIndex" : 0 }, "schema" : "https://github.com/citation-style-language/schema/raw/master/csl-citation.json" }</w:instrText>
      </w:r>
      <w:r w:rsidR="007C356F" w:rsidRPr="00004A5E">
        <w:rPr>
          <w:rFonts w:ascii="Times New Roman" w:hAnsi="Times New Roman" w:cs="Times New Roman"/>
          <w:sz w:val="24"/>
          <w:szCs w:val="24"/>
        </w:rPr>
        <w:fldChar w:fldCharType="separate"/>
      </w:r>
      <w:r w:rsidR="007F71FE" w:rsidRPr="00004A5E">
        <w:rPr>
          <w:rFonts w:ascii="Times New Roman" w:hAnsi="Times New Roman" w:cs="Times New Roman"/>
          <w:noProof/>
          <w:sz w:val="24"/>
          <w:szCs w:val="24"/>
        </w:rPr>
        <w:t>(Traynor, 2015)</w:t>
      </w:r>
      <w:r w:rsidR="007C356F" w:rsidRPr="00004A5E">
        <w:rPr>
          <w:rFonts w:ascii="Times New Roman" w:hAnsi="Times New Roman" w:cs="Times New Roman"/>
          <w:sz w:val="24"/>
          <w:szCs w:val="24"/>
        </w:rPr>
        <w:fldChar w:fldCharType="end"/>
      </w:r>
      <w:r w:rsidR="007F71FE" w:rsidRPr="00004A5E">
        <w:rPr>
          <w:rFonts w:ascii="Times New Roman" w:hAnsi="Times New Roman" w:cs="Times New Roman"/>
          <w:sz w:val="24"/>
          <w:szCs w:val="24"/>
        </w:rPr>
        <w:t>. Passing these common-sense policies indicates a growing familiarity with digital technolo</w:t>
      </w:r>
      <w:r w:rsidR="00AE269E">
        <w:rPr>
          <w:rFonts w:ascii="Times New Roman" w:hAnsi="Times New Roman" w:cs="Times New Roman"/>
          <w:sz w:val="24"/>
          <w:szCs w:val="24"/>
        </w:rPr>
        <w:t>gies at the European level</w:t>
      </w:r>
      <w:r w:rsidR="004B1646">
        <w:rPr>
          <w:rFonts w:ascii="Times New Roman" w:hAnsi="Times New Roman" w:cs="Times New Roman"/>
          <w:sz w:val="24"/>
          <w:szCs w:val="24"/>
        </w:rPr>
        <w:t>.</w:t>
      </w:r>
    </w:p>
    <w:p w:rsidR="00986BFE" w:rsidRPr="00004A5E" w:rsidRDefault="00986BFE" w:rsidP="00004A5E">
      <w:pPr>
        <w:pStyle w:val="Heading1"/>
        <w:jc w:val="center"/>
        <w:rPr>
          <w:rFonts w:ascii="Times New Roman" w:hAnsi="Times New Roman" w:cs="Times New Roman"/>
        </w:rPr>
      </w:pPr>
      <w:r w:rsidRPr="00004A5E">
        <w:rPr>
          <w:rFonts w:ascii="Times New Roman" w:hAnsi="Times New Roman" w:cs="Times New Roman"/>
        </w:rPr>
        <w:t>Policy</w:t>
      </w:r>
    </w:p>
    <w:p w:rsidR="002D3A65" w:rsidRPr="00004A5E" w:rsidRDefault="002D3A65" w:rsidP="00E26CF6">
      <w:pPr>
        <w:spacing w:line="480" w:lineRule="auto"/>
        <w:ind w:firstLine="720"/>
        <w:rPr>
          <w:rFonts w:ascii="Times New Roman" w:hAnsi="Times New Roman" w:cs="Times New Roman"/>
          <w:sz w:val="24"/>
          <w:szCs w:val="24"/>
        </w:rPr>
      </w:pPr>
      <w:r w:rsidRPr="00004A5E">
        <w:rPr>
          <w:rFonts w:ascii="Times New Roman" w:hAnsi="Times New Roman" w:cs="Times New Roman"/>
          <w:sz w:val="24"/>
          <w:szCs w:val="24"/>
        </w:rPr>
        <w:t>The greatest strength of the internet is the fact that it is a single network which unifies most of the world. A significant risk to the open culture of the internet is the potential for balkanization, or fragmentation, of the internet alo</w:t>
      </w:r>
      <w:r w:rsidR="00DB5BD6">
        <w:rPr>
          <w:rFonts w:ascii="Times New Roman" w:hAnsi="Times New Roman" w:cs="Times New Roman"/>
          <w:sz w:val="24"/>
          <w:szCs w:val="24"/>
        </w:rPr>
        <w:t xml:space="preserve">ng regional or political lines – for an example, see China’s Weibo. </w:t>
      </w:r>
      <w:r w:rsidRPr="00004A5E">
        <w:rPr>
          <w:rFonts w:ascii="Times New Roman" w:hAnsi="Times New Roman" w:cs="Times New Roman"/>
          <w:sz w:val="24"/>
          <w:szCs w:val="24"/>
        </w:rPr>
        <w:t>Even if a state has no intention to censor, regionalizing the internet recreates barriers between cultures and promotes chilling effects. Between the United States and the European Union, the right to be forgotten, and the permissibility of state surveillance are critical and unresolved issues which threaten the unity of the internet as a medium for free information exchange.</w:t>
      </w:r>
      <w:r w:rsidR="002C7CD0" w:rsidRPr="00004A5E">
        <w:rPr>
          <w:rFonts w:ascii="Times New Roman" w:hAnsi="Times New Roman" w:cs="Times New Roman"/>
          <w:sz w:val="24"/>
          <w:szCs w:val="24"/>
        </w:rPr>
        <w:t xml:space="preserve"> </w:t>
      </w:r>
    </w:p>
    <w:p w:rsidR="002D3A65" w:rsidRPr="00004A5E" w:rsidRDefault="002D3A65" w:rsidP="00E26CF6">
      <w:pPr>
        <w:spacing w:line="480" w:lineRule="auto"/>
        <w:ind w:firstLine="720"/>
        <w:rPr>
          <w:rFonts w:ascii="Times New Roman" w:hAnsi="Times New Roman" w:cs="Times New Roman"/>
          <w:sz w:val="24"/>
          <w:szCs w:val="24"/>
        </w:rPr>
      </w:pPr>
      <w:r w:rsidRPr="00004A5E">
        <w:rPr>
          <w:rFonts w:ascii="Times New Roman" w:hAnsi="Times New Roman" w:cs="Times New Roman"/>
          <w:sz w:val="24"/>
          <w:szCs w:val="24"/>
        </w:rPr>
        <w:t xml:space="preserve">In January 2012, the EU Commissioner for Justice announced the creation of the right to be forgotten on the internet. The idea of this right is to give individuals the power to remove information about themselves that is no longer relevant. This right develops the existing right to privacy established in many European countries, including France’s right to oblivion </w:t>
      </w:r>
      <w:r w:rsidR="007C356F" w:rsidRPr="00004A5E">
        <w:rPr>
          <w:rFonts w:ascii="Times New Roman" w:hAnsi="Times New Roman" w:cs="Times New Roman"/>
          <w:sz w:val="24"/>
          <w:szCs w:val="24"/>
        </w:rPr>
        <w:fldChar w:fldCharType="begin" w:fldLock="1"/>
      </w:r>
      <w:r w:rsidRPr="00004A5E">
        <w:rPr>
          <w:rFonts w:ascii="Times New Roman" w:hAnsi="Times New Roman" w:cs="Times New Roman"/>
          <w:sz w:val="24"/>
          <w:szCs w:val="24"/>
        </w:rPr>
        <w:instrText>ADDIN CSL_CITATION { "citationItems" : [ { "id" : "ITEM-1", "itemData" : { "author" : [ { "dropping-particle" : "", "family" : "Rosen", "given" : "Jeffrey", "non-dropping-particle" : "", "parse-names" : false, "suffix" : "" } ], "id" : "ITEM-1", "issued" : { "date-parts" : [ [ "2012" ] ] }, "page" : "88-92", "title" : "THE RIGHT TO BE FORGOTTEN", "type" : "article-journal" }, "uris" : [ "http://www.mendeley.com/documents/?uuid=e2085ac5-c82a-4c4e-9aec-e413eb8388cf" ] } ], "mendeley" : { "formattedCitation" : "(Rosen, 2012)", "plainTextFormattedCitation" : "(Rosen, 2012)", "previouslyFormattedCitation" : "(Rosen, 2012)" }, "properties" : { "noteIndex" : 0 }, "schema" : "https://github.com/citation-style-language/schema/raw/master/csl-citation.json" }</w:instrText>
      </w:r>
      <w:r w:rsidR="007C356F" w:rsidRPr="00004A5E">
        <w:rPr>
          <w:rFonts w:ascii="Times New Roman" w:hAnsi="Times New Roman" w:cs="Times New Roman"/>
          <w:sz w:val="24"/>
          <w:szCs w:val="24"/>
        </w:rPr>
        <w:fldChar w:fldCharType="separate"/>
      </w:r>
      <w:r w:rsidRPr="00004A5E">
        <w:rPr>
          <w:rFonts w:ascii="Times New Roman" w:hAnsi="Times New Roman" w:cs="Times New Roman"/>
          <w:noProof/>
          <w:sz w:val="24"/>
          <w:szCs w:val="24"/>
        </w:rPr>
        <w:t>(Rosen, 2012)</w:t>
      </w:r>
      <w:r w:rsidR="007C356F" w:rsidRPr="00004A5E">
        <w:rPr>
          <w:rFonts w:ascii="Times New Roman" w:hAnsi="Times New Roman" w:cs="Times New Roman"/>
          <w:sz w:val="24"/>
          <w:szCs w:val="24"/>
        </w:rPr>
        <w:fldChar w:fldCharType="end"/>
      </w:r>
      <w:r w:rsidRPr="00004A5E">
        <w:rPr>
          <w:rFonts w:ascii="Times New Roman" w:hAnsi="Times New Roman" w:cs="Times New Roman"/>
          <w:sz w:val="24"/>
          <w:szCs w:val="24"/>
        </w:rPr>
        <w:t xml:space="preserve">. While this sounds good in theory, the ability to remove information on the internet raises the very real specter of censorship. The United States, on the other hand, has “traditionally emphasized freedom of expression over privacy, as a fundamental value” </w:t>
      </w:r>
      <w:r w:rsidR="007C356F" w:rsidRPr="00004A5E">
        <w:rPr>
          <w:rFonts w:ascii="Times New Roman" w:hAnsi="Times New Roman" w:cs="Times New Roman"/>
          <w:sz w:val="24"/>
          <w:szCs w:val="24"/>
        </w:rPr>
        <w:fldChar w:fldCharType="begin" w:fldLock="1"/>
      </w:r>
      <w:r w:rsidRPr="00004A5E">
        <w:rPr>
          <w:rFonts w:ascii="Times New Roman" w:hAnsi="Times New Roman" w:cs="Times New Roman"/>
          <w:sz w:val="24"/>
          <w:szCs w:val="24"/>
        </w:rPr>
        <w:instrText>ADDIN CSL_CITATION { "citationItems" : [ { "id" : "ITEM-1", "itemData" : { "abstract" : "Recent developments in the European Union (EU) have highlighted the po- tential for the development of a \"right to be forgotten.\" For United States (US) companies, especially those operating on the Internet, the development and en- forcement of such a right could prove to be quite problematic. This Article out- lines the practical implications of such a right, pointing the way toward possibil- ities for reconciliation of US and EU views on the application of a right to be forgotten.", "author" : [ { "dropping-particle" : "", "family" : "Bennett", "given" : "Steven C", "non-dropping-particle" : "", "parse-names" : false, "suffix" : "" } ], "container-title" : "Berkeley Journal of International Law", "id" : "ITEM-1", "issue" : "1", "issued" : { "date-parts" : [ [ "2010" ] ] }, "page" : "161-195", "title" : "The \"Right to Be Forgotten\": Reconciling EU and US Perspectives", "type" : "article-journal", "volume" : "30" }, "uris" : [ "http://www.mendeley.com/documents/?uuid=29ec7d44-6db0-415a-b05d-c428f58839e5" ] } ], "mendeley" : { "formattedCitation" : "(Bennett, 2010)", "plainTextFormattedCitation" : "(Bennett, 2010)", "previouslyFormattedCitation" : "(Bennett, 2010)" }, "properties" : { "noteIndex" : 0 }, "schema" : "https://github.com/citation-style-language/schema/raw/master/csl-citation.json" }</w:instrText>
      </w:r>
      <w:r w:rsidR="007C356F" w:rsidRPr="00004A5E">
        <w:rPr>
          <w:rFonts w:ascii="Times New Roman" w:hAnsi="Times New Roman" w:cs="Times New Roman"/>
          <w:sz w:val="24"/>
          <w:szCs w:val="24"/>
        </w:rPr>
        <w:fldChar w:fldCharType="separate"/>
      </w:r>
      <w:r w:rsidRPr="00004A5E">
        <w:rPr>
          <w:rFonts w:ascii="Times New Roman" w:hAnsi="Times New Roman" w:cs="Times New Roman"/>
          <w:noProof/>
          <w:sz w:val="24"/>
          <w:szCs w:val="24"/>
        </w:rPr>
        <w:t>(Bennett, 2010)</w:t>
      </w:r>
      <w:r w:rsidR="007C356F" w:rsidRPr="00004A5E">
        <w:rPr>
          <w:rFonts w:ascii="Times New Roman" w:hAnsi="Times New Roman" w:cs="Times New Roman"/>
          <w:sz w:val="24"/>
          <w:szCs w:val="24"/>
        </w:rPr>
        <w:fldChar w:fldCharType="end"/>
      </w:r>
      <w:r w:rsidRPr="00004A5E">
        <w:rPr>
          <w:rFonts w:ascii="Times New Roman" w:hAnsi="Times New Roman" w:cs="Times New Roman"/>
          <w:sz w:val="24"/>
          <w:szCs w:val="24"/>
        </w:rPr>
        <w:t xml:space="preserve">. For a multinational trying to do business in both areas, it becomes difficult, technologically and in terms of policy, to implement a cohesive strategy. Difficult as it may be to reconcile two diametrically opposed positions, finding a middle ground between promoting free speech and protecting privacy is in the best interest of </w:t>
      </w:r>
      <w:r w:rsidR="00C73FD6">
        <w:rPr>
          <w:rFonts w:ascii="Times New Roman" w:hAnsi="Times New Roman" w:cs="Times New Roman"/>
          <w:sz w:val="24"/>
          <w:szCs w:val="24"/>
        </w:rPr>
        <w:t>everyone</w:t>
      </w:r>
      <w:r w:rsidRPr="00004A5E">
        <w:rPr>
          <w:rFonts w:ascii="Times New Roman" w:hAnsi="Times New Roman" w:cs="Times New Roman"/>
          <w:sz w:val="24"/>
          <w:szCs w:val="24"/>
        </w:rPr>
        <w:t>. The alternative is a spli</w:t>
      </w:r>
      <w:r w:rsidR="00F0288C">
        <w:rPr>
          <w:rFonts w:ascii="Times New Roman" w:hAnsi="Times New Roman" w:cs="Times New Roman"/>
          <w:sz w:val="24"/>
          <w:szCs w:val="24"/>
        </w:rPr>
        <w:t xml:space="preserve">ntered network – one which is less </w:t>
      </w:r>
      <w:r w:rsidR="004572E0">
        <w:rPr>
          <w:rFonts w:ascii="Times New Roman" w:hAnsi="Times New Roman" w:cs="Times New Roman"/>
          <w:sz w:val="24"/>
          <w:szCs w:val="24"/>
        </w:rPr>
        <w:t>conducive</w:t>
      </w:r>
      <w:r w:rsidR="00F0288C">
        <w:rPr>
          <w:rFonts w:ascii="Times New Roman" w:hAnsi="Times New Roman" w:cs="Times New Roman"/>
          <w:sz w:val="24"/>
          <w:szCs w:val="24"/>
        </w:rPr>
        <w:t xml:space="preserve"> to </w:t>
      </w:r>
      <w:r w:rsidR="00D75E79">
        <w:rPr>
          <w:rFonts w:ascii="Times New Roman" w:hAnsi="Times New Roman" w:cs="Times New Roman"/>
          <w:sz w:val="24"/>
          <w:szCs w:val="24"/>
        </w:rPr>
        <w:t>cross-border dissent</w:t>
      </w:r>
      <w:r w:rsidR="00F0288C">
        <w:rPr>
          <w:rFonts w:ascii="Times New Roman" w:hAnsi="Times New Roman" w:cs="Times New Roman"/>
          <w:sz w:val="24"/>
          <w:szCs w:val="24"/>
        </w:rPr>
        <w:t>.</w:t>
      </w:r>
    </w:p>
    <w:p w:rsidR="002D3A65" w:rsidRPr="00004A5E" w:rsidRDefault="002D3A65" w:rsidP="00E26CF6">
      <w:pPr>
        <w:spacing w:line="480" w:lineRule="auto"/>
        <w:ind w:firstLine="720"/>
        <w:rPr>
          <w:rFonts w:ascii="Times New Roman" w:hAnsi="Times New Roman" w:cs="Times New Roman"/>
          <w:sz w:val="24"/>
          <w:szCs w:val="24"/>
        </w:rPr>
      </w:pPr>
      <w:r w:rsidRPr="00004A5E">
        <w:rPr>
          <w:rFonts w:ascii="Times New Roman" w:hAnsi="Times New Roman" w:cs="Times New Roman"/>
          <w:sz w:val="24"/>
          <w:szCs w:val="24"/>
        </w:rPr>
        <w:t>Wikileaks in 2011 and the case of Edward Snowden in 2013 are examples of how US policies are fostering “chilling effects” on the internet. In 2011, Wikileaks made over 250,000 sensitive US diplomatic cables available to five major newspapers, which then published a fraction of them. On the leaks, Defense Secretary Robert Gates wrote:</w:t>
      </w:r>
    </w:p>
    <w:p w:rsidR="002D3A65" w:rsidRPr="00004A5E" w:rsidRDefault="002D3A65" w:rsidP="00E26CF6">
      <w:pPr>
        <w:spacing w:line="480" w:lineRule="auto"/>
        <w:ind w:left="720"/>
        <w:rPr>
          <w:rFonts w:ascii="Times New Roman" w:hAnsi="Times New Roman" w:cs="Times New Roman"/>
          <w:sz w:val="24"/>
          <w:szCs w:val="24"/>
        </w:rPr>
      </w:pPr>
      <w:r w:rsidRPr="00004A5E">
        <w:rPr>
          <w:rFonts w:ascii="Times New Roman" w:hAnsi="Times New Roman" w:cs="Times New Roman"/>
          <w:sz w:val="24"/>
          <w:szCs w:val="24"/>
        </w:rPr>
        <w:t xml:space="preserve">Other nations will continue to deal with us. They will continue to work with us. We will continue to share sensitive information with one another. Is this embarrassing? Yes. Is it awkward? Yes. Consequences for U.S. foreign policy? I think fairly modest </w:t>
      </w:r>
      <w:r w:rsidR="007C356F" w:rsidRPr="00004A5E">
        <w:rPr>
          <w:rFonts w:ascii="Times New Roman" w:hAnsi="Times New Roman" w:cs="Times New Roman"/>
          <w:sz w:val="24"/>
          <w:szCs w:val="24"/>
        </w:rPr>
        <w:fldChar w:fldCharType="begin" w:fldLock="1"/>
      </w:r>
      <w:r w:rsidRPr="00004A5E">
        <w:rPr>
          <w:rFonts w:ascii="Times New Roman" w:hAnsi="Times New Roman" w:cs="Times New Roman"/>
          <w:sz w:val="24"/>
          <w:szCs w:val="24"/>
        </w:rPr>
        <w:instrText>ADDIN CSL_CITATION { "citationItems" : [ { "id" : "ITEM-1", "itemData" : { "ISSN" : "0017-8039", "abstract" : "... The governments of China, Israel, North Korea, Russia, Thailand, Zimbabwe, and several other countries have blocked access to Wikileaks.org-type Web sites, claimed they have the right to investigate and prosecute Wikileaks.org and associated whistleblowers, or insisted they remove false, sensitive, or classified government information, propaganda, or malicious content from the Internet. ... The report follows up with other items it calls variously \"news articles,\" or \"reports,\" related to abuses in Guantanamo Bay, based on the leaked Camp Delta Operating Procedures, and in one case states: \"A variety of newspapers, wire services, and other news and media organizations wrote numerous articles based on the original Wikileaks.org news article and actual classified document posted to their Web site.\" ... A review of all news stories in the Lexis-Nexis database in 2007 and 2008 reveals, however, that Wikileaks' analysis (as opposed to documents) was not reported on in media covered by that dataset; instead, the roughly 400 reports present during that period referenced the materials themselves, with occasional references to the brief overview offered by the site. ... Nothing captures that threat more ironically than the spectacle of Judith Miller, the disgraced New York Times reporter who yoked that newspaper's credibility to the Bush Administration's propaganda campaign regarding Iraq's weapons of mass destruction in the run-up to the Iraq War, using Fox News as a platform to criticize Julian Assange for neglecting the journalist's duty of checking his sources and instead providing raw cables to the public. ... From the perspective of the assault on Wikileaks, the important aspect of Manning's treatment is the effort to use him to deter future whistleblowers and the question of whether his culpability could serve to anchor conspiracy liability against Assange and Wikileaks. ... In following the Second Circuit, and integrating it with the Ninth Circuit, the Third Circuit in In re Madden summarized: \"We hold that individuals are journalists when engaged in investigative reporting, gathering news, and have the intent at the beginning of the news-gathering process to disseminate this information to the public.\" ... As the networked public sphere develops, as a more diverse set of actors-from individual bloggers like Instapundit, to nonprofits like the Sunlight Foundation, small commercial online publications like Talking Points Memo, and large decentralized \u2026", "author" : [ { "dropping-particle" : "", "family" : "Benkler", "given" : "Yochai", "non-dropping-particle" : "", "parse-names" : false, "suffix" : "" } ], "container-title" : "Harvard Civil Rights-Civil Liberties Law Review", "id" : "ITEM-1", "issued" : { "date-parts" : [ [ "2011" ] ] }, "page" : "1-93", "title" : "A Free Irresponsible Press : Wikileaks and the Battle over the Soul of the Networked Fourth Estate", "type" : "article-journal", "volume" : "19" }, "uris" : [ "http://www.mendeley.com/documents/?uuid=66b4a653-beba-4169-9c8f-34c80a483445" ] } ], "mendeley" : { "formattedCitation" : "(Benkler, 2011)", "plainTextFormattedCitation" : "(Benkler, 2011)", "previouslyFormattedCitation" : "(Benkler, 2011)" }, "properties" : { "noteIndex" : 0 }, "schema" : "https://github.com/citation-style-language/schema/raw/master/csl-citation.json" }</w:instrText>
      </w:r>
      <w:r w:rsidR="007C356F" w:rsidRPr="00004A5E">
        <w:rPr>
          <w:rFonts w:ascii="Times New Roman" w:hAnsi="Times New Roman" w:cs="Times New Roman"/>
          <w:sz w:val="24"/>
          <w:szCs w:val="24"/>
        </w:rPr>
        <w:fldChar w:fldCharType="separate"/>
      </w:r>
      <w:r w:rsidRPr="00004A5E">
        <w:rPr>
          <w:rFonts w:ascii="Times New Roman" w:hAnsi="Times New Roman" w:cs="Times New Roman"/>
          <w:noProof/>
          <w:sz w:val="24"/>
          <w:szCs w:val="24"/>
        </w:rPr>
        <w:t>(Benkler, 2011)</w:t>
      </w:r>
      <w:r w:rsidR="007C356F" w:rsidRPr="00004A5E">
        <w:rPr>
          <w:rFonts w:ascii="Times New Roman" w:hAnsi="Times New Roman" w:cs="Times New Roman"/>
          <w:sz w:val="24"/>
          <w:szCs w:val="24"/>
        </w:rPr>
        <w:fldChar w:fldCharType="end"/>
      </w:r>
      <w:r w:rsidRPr="00004A5E">
        <w:rPr>
          <w:rFonts w:ascii="Times New Roman" w:hAnsi="Times New Roman" w:cs="Times New Roman"/>
          <w:sz w:val="24"/>
          <w:szCs w:val="24"/>
        </w:rPr>
        <w:t>.</w:t>
      </w:r>
    </w:p>
    <w:p w:rsidR="002D3A65" w:rsidRPr="00004A5E" w:rsidRDefault="002D3A65" w:rsidP="000105AC">
      <w:pPr>
        <w:spacing w:line="480" w:lineRule="auto"/>
        <w:ind w:firstLine="720"/>
        <w:rPr>
          <w:rFonts w:ascii="Times New Roman" w:hAnsi="Times New Roman" w:cs="Times New Roman"/>
          <w:sz w:val="24"/>
          <w:szCs w:val="24"/>
        </w:rPr>
      </w:pPr>
      <w:r w:rsidRPr="00004A5E">
        <w:rPr>
          <w:rFonts w:ascii="Times New Roman" w:hAnsi="Times New Roman" w:cs="Times New Roman"/>
          <w:sz w:val="24"/>
          <w:szCs w:val="24"/>
        </w:rPr>
        <w:t xml:space="preserve">The United States initiated a shock and awe campaign against Wikileaks to deter future leaks, as theorized in an earlier 2008 Pentagon Report </w:t>
      </w:r>
      <w:r w:rsidR="007C356F" w:rsidRPr="00004A5E">
        <w:rPr>
          <w:rFonts w:ascii="Times New Roman" w:hAnsi="Times New Roman" w:cs="Times New Roman"/>
          <w:sz w:val="24"/>
          <w:szCs w:val="24"/>
        </w:rPr>
        <w:fldChar w:fldCharType="begin" w:fldLock="1"/>
      </w:r>
      <w:r w:rsidRPr="00004A5E">
        <w:rPr>
          <w:rFonts w:ascii="Times New Roman" w:hAnsi="Times New Roman" w:cs="Times New Roman"/>
          <w:sz w:val="24"/>
          <w:szCs w:val="24"/>
        </w:rPr>
        <w:instrText>ADDIN CSL_CITATION { "citationItems" : [ { "id" : "ITEM-1", "itemData" : { "ISSN" : "0017-8039", "abstract" : "... The governments of China, Israel, North Korea, Russia, Thailand, Zimbabwe, and several other countries have blocked access to Wikileaks.org-type Web sites, claimed they have the right to investigate and prosecute Wikileaks.org and associated whistleblowers, or insisted they remove false, sensitive, or classified government information, propaganda, or malicious content from the Internet. ... The report follows up with other items it calls variously \"news articles,\" or \"reports,\" related to abuses in Guantanamo Bay, based on the leaked Camp Delta Operating Procedures, and in one case states: \"A variety of newspapers, wire services, and other news and media organizations wrote numerous articles based on the original Wikileaks.org news article and actual classified document posted to their Web site.\" ... A review of all news stories in the Lexis-Nexis database in 2007 and 2008 reveals, however, that Wikileaks' analysis (as opposed to documents) was not reported on in media covered by that dataset; instead, the roughly 400 reports present during that period referenced the materials themselves, with occasional references to the brief overview offered by the site. ... Nothing captures that threat more ironically than the spectacle of Judith Miller, the disgraced New York Times reporter who yoked that newspaper's credibility to the Bush Administration's propaganda campaign regarding Iraq's weapons of mass destruction in the run-up to the Iraq War, using Fox News as a platform to criticize Julian Assange for neglecting the journalist's duty of checking his sources and instead providing raw cables to the public. ... From the perspective of the assault on Wikileaks, the important aspect of Manning's treatment is the effort to use him to deter future whistleblowers and the question of whether his culpability could serve to anchor conspiracy liability against Assange and Wikileaks. ... In following the Second Circuit, and integrating it with the Ninth Circuit, the Third Circuit in In re Madden summarized: \"We hold that individuals are journalists when engaged in investigative reporting, gathering news, and have the intent at the beginning of the news-gathering process to disseminate this information to the public.\" ... As the networked public sphere develops, as a more diverse set of actors-from individual bloggers like Instapundit, to nonprofits like the Sunlight Foundation, small commercial online publications like Talking Points Memo, and large decentralized \u2026", "author" : [ { "dropping-particle" : "", "family" : "Benkler", "given" : "Yochai", "non-dropping-particle" : "", "parse-names" : false, "suffix" : "" } ], "container-title" : "Harvard Civil Rights-Civil Liberties Law Review", "id" : "ITEM-1", "issued" : { "date-parts" : [ [ "2011" ] ] }, "page" : "1-93", "title" : "A Free Irresponsible Press : Wikileaks and the Battle over the Soul of the Networked Fourth Estate", "type" : "article-journal", "volume" : "19" }, "uris" : [ "http://www.mendeley.com/documents/?uuid=66b4a653-beba-4169-9c8f-34c80a483445" ] } ], "mendeley" : { "formattedCitation" : "(Benkler, 2011)", "plainTextFormattedCitation" : "(Benkler, 2011)", "previouslyFormattedCitation" : "(Benkler, 2011)" }, "properties" : { "noteIndex" : 0 }, "schema" : "https://github.com/citation-style-language/schema/raw/master/csl-citation.json" }</w:instrText>
      </w:r>
      <w:r w:rsidR="007C356F" w:rsidRPr="00004A5E">
        <w:rPr>
          <w:rFonts w:ascii="Times New Roman" w:hAnsi="Times New Roman" w:cs="Times New Roman"/>
          <w:sz w:val="24"/>
          <w:szCs w:val="24"/>
        </w:rPr>
        <w:fldChar w:fldCharType="separate"/>
      </w:r>
      <w:r w:rsidRPr="00004A5E">
        <w:rPr>
          <w:rFonts w:ascii="Times New Roman" w:hAnsi="Times New Roman" w:cs="Times New Roman"/>
          <w:noProof/>
          <w:sz w:val="24"/>
          <w:szCs w:val="24"/>
        </w:rPr>
        <w:t>(Benkler, 2011)</w:t>
      </w:r>
      <w:r w:rsidR="007C356F" w:rsidRPr="00004A5E">
        <w:rPr>
          <w:rFonts w:ascii="Times New Roman" w:hAnsi="Times New Roman" w:cs="Times New Roman"/>
          <w:sz w:val="24"/>
          <w:szCs w:val="24"/>
        </w:rPr>
        <w:fldChar w:fldCharType="end"/>
      </w:r>
      <w:r w:rsidRPr="00004A5E">
        <w:rPr>
          <w:rFonts w:ascii="Times New Roman" w:hAnsi="Times New Roman" w:cs="Times New Roman"/>
          <w:sz w:val="24"/>
          <w:szCs w:val="24"/>
        </w:rPr>
        <w:t>. The US Government portrayed Wikileaks as an irresponsible organization whose leaks jeopardized the safety and security of the United States, despite the lack of evidence suppor</w:t>
      </w:r>
      <w:r w:rsidR="00DB5BD6">
        <w:rPr>
          <w:rFonts w:ascii="Times New Roman" w:hAnsi="Times New Roman" w:cs="Times New Roman"/>
          <w:sz w:val="24"/>
          <w:szCs w:val="24"/>
        </w:rPr>
        <w:t xml:space="preserve">ting that claim. The subsequent </w:t>
      </w:r>
      <w:r w:rsidRPr="00004A5E">
        <w:rPr>
          <w:rFonts w:ascii="Times New Roman" w:hAnsi="Times New Roman" w:cs="Times New Roman"/>
          <w:sz w:val="24"/>
          <w:szCs w:val="24"/>
        </w:rPr>
        <w:t xml:space="preserve">chilling effect </w:t>
      </w:r>
      <w:r w:rsidR="00E76C80">
        <w:rPr>
          <w:rFonts w:ascii="Times New Roman" w:hAnsi="Times New Roman" w:cs="Times New Roman"/>
          <w:sz w:val="24"/>
          <w:szCs w:val="24"/>
        </w:rPr>
        <w:t>snowballed and became i</w:t>
      </w:r>
      <w:r w:rsidR="00DB5BD6">
        <w:rPr>
          <w:rFonts w:ascii="Times New Roman" w:hAnsi="Times New Roman" w:cs="Times New Roman"/>
          <w:sz w:val="24"/>
          <w:szCs w:val="24"/>
        </w:rPr>
        <w:t>mmense, as demonstrated in two examples.</w:t>
      </w:r>
      <w:r w:rsidRPr="00004A5E">
        <w:rPr>
          <w:rFonts w:ascii="Times New Roman" w:hAnsi="Times New Roman" w:cs="Times New Roman"/>
          <w:sz w:val="24"/>
          <w:szCs w:val="24"/>
        </w:rPr>
        <w:t xml:space="preserve"> </w:t>
      </w:r>
      <w:r w:rsidR="00DB5BD6">
        <w:rPr>
          <w:rFonts w:ascii="Times New Roman" w:hAnsi="Times New Roman" w:cs="Times New Roman"/>
          <w:sz w:val="24"/>
          <w:szCs w:val="24"/>
        </w:rPr>
        <w:t xml:space="preserve">First, under </w:t>
      </w:r>
      <w:r w:rsidRPr="00004A5E">
        <w:rPr>
          <w:rFonts w:ascii="Times New Roman" w:hAnsi="Times New Roman" w:cs="Times New Roman"/>
          <w:sz w:val="24"/>
          <w:szCs w:val="24"/>
        </w:rPr>
        <w:t xml:space="preserve">pressure, Visa, Mastercard, and Paypal’s suspended Wikileaks financial accounts. </w:t>
      </w:r>
      <w:r w:rsidR="00C34337">
        <w:rPr>
          <w:rFonts w:ascii="Times New Roman" w:hAnsi="Times New Roman" w:cs="Times New Roman"/>
          <w:sz w:val="24"/>
          <w:szCs w:val="24"/>
        </w:rPr>
        <w:t>Second,</w:t>
      </w:r>
      <w:r w:rsidRPr="00004A5E">
        <w:rPr>
          <w:rFonts w:ascii="Times New Roman" w:hAnsi="Times New Roman" w:cs="Times New Roman"/>
          <w:sz w:val="24"/>
          <w:szCs w:val="24"/>
        </w:rPr>
        <w:t xml:space="preserve"> across the country, American college students received warnings that looking at the leaked cables endangered their chances of getting jobs with the United States Government </w:t>
      </w:r>
      <w:r w:rsidR="007C356F" w:rsidRPr="00004A5E">
        <w:rPr>
          <w:rFonts w:ascii="Times New Roman" w:hAnsi="Times New Roman" w:cs="Times New Roman"/>
          <w:sz w:val="24"/>
          <w:szCs w:val="24"/>
        </w:rPr>
        <w:fldChar w:fldCharType="begin" w:fldLock="1"/>
      </w:r>
      <w:r w:rsidRPr="00004A5E">
        <w:rPr>
          <w:rFonts w:ascii="Times New Roman" w:hAnsi="Times New Roman" w:cs="Times New Roman"/>
          <w:sz w:val="24"/>
          <w:szCs w:val="24"/>
        </w:rPr>
        <w:instrText>ADDIN CSL_CITATION { "citationItems" : [ { "id" : "ITEM-1", "itemData" : { "ISSN" : "0017-8039", "abstract" : "... The governments of China, Israel, North Korea, Russia, Thailand, Zimbabwe, and several other countries have blocked access to Wikileaks.org-type Web sites, claimed they have the right to investigate and prosecute Wikileaks.org and associated whistleblowers, or insisted they remove false, sensitive, or classified government information, propaganda, or malicious content from the Internet. ... The report follows up with other items it calls variously \"news articles,\" or \"reports,\" related to abuses in Guantanamo Bay, based on the leaked Camp Delta Operating Procedures, and in one case states: \"A variety of newspapers, wire services, and other news and media organizations wrote numerous articles based on the original Wikileaks.org news article and actual classified document posted to their Web site.\" ... A review of all news stories in the Lexis-Nexis database in 2007 and 2008 reveals, however, that Wikileaks' analysis (as opposed to documents) was not reported on in media covered by that dataset; instead, the roughly 400 reports present during that period referenced the materials themselves, with occasional references to the brief overview offered by the site. ... Nothing captures that threat more ironically than the spectacle of Judith Miller, the disgraced New York Times reporter who yoked that newspaper's credibility to the Bush Administration's propaganda campaign regarding Iraq's weapons of mass destruction in the run-up to the Iraq War, using Fox News as a platform to criticize Julian Assange for neglecting the journalist's duty of checking his sources and instead providing raw cables to the public. ... From the perspective of the assault on Wikileaks, the important aspect of Manning's treatment is the effort to use him to deter future whistleblowers and the question of whether his culpability could serve to anchor conspiracy liability against Assange and Wikileaks. ... In following the Second Circuit, and integrating it with the Ninth Circuit, the Third Circuit in In re Madden summarized: \"We hold that individuals are journalists when engaged in investigative reporting, gathering news, and have the intent at the beginning of the news-gathering process to disseminate this information to the public.\" ... As the networked public sphere develops, as a more diverse set of actors-from individual bloggers like Instapundit, to nonprofits like the Sunlight Foundation, small commercial online publications like Talking Points Memo, and large decentralized \u2026", "author" : [ { "dropping-particle" : "", "family" : "Benkler", "given" : "Yochai", "non-dropping-particle" : "", "parse-names" : false, "suffix" : "" } ], "container-title" : "Harvard Civil Rights-Civil Liberties Law Review", "id" : "ITEM-1", "issued" : { "date-parts" : [ [ "2011" ] ] }, "page" : "1-93", "title" : "A Free Irresponsible Press : Wikileaks and the Battle over the Soul of the Networked Fourth Estate", "type" : "article-journal", "volume" : "19" }, "uris" : [ "http://www.mendeley.com/documents/?uuid=66b4a653-beba-4169-9c8f-34c80a483445" ] } ], "mendeley" : { "formattedCitation" : "(Benkler, 2011)", "plainTextFormattedCitation" : "(Benkler, 2011)", "previouslyFormattedCitation" : "(Benkler, 2011)" }, "properties" : { "noteIndex" : 0 }, "schema" : "https://github.com/citation-style-language/schema/raw/master/csl-citation.json" }</w:instrText>
      </w:r>
      <w:r w:rsidR="007C356F" w:rsidRPr="00004A5E">
        <w:rPr>
          <w:rFonts w:ascii="Times New Roman" w:hAnsi="Times New Roman" w:cs="Times New Roman"/>
          <w:sz w:val="24"/>
          <w:szCs w:val="24"/>
        </w:rPr>
        <w:fldChar w:fldCharType="separate"/>
      </w:r>
      <w:r w:rsidRPr="00004A5E">
        <w:rPr>
          <w:rFonts w:ascii="Times New Roman" w:hAnsi="Times New Roman" w:cs="Times New Roman"/>
          <w:noProof/>
          <w:sz w:val="24"/>
          <w:szCs w:val="24"/>
        </w:rPr>
        <w:t>(Benkler, 2011)</w:t>
      </w:r>
      <w:r w:rsidR="007C356F" w:rsidRPr="00004A5E">
        <w:rPr>
          <w:rFonts w:ascii="Times New Roman" w:hAnsi="Times New Roman" w:cs="Times New Roman"/>
          <w:sz w:val="24"/>
          <w:szCs w:val="24"/>
        </w:rPr>
        <w:fldChar w:fldCharType="end"/>
      </w:r>
      <w:r w:rsidRPr="00004A5E">
        <w:rPr>
          <w:rFonts w:ascii="Times New Roman" w:hAnsi="Times New Roman" w:cs="Times New Roman"/>
          <w:sz w:val="24"/>
          <w:szCs w:val="24"/>
        </w:rPr>
        <w:t xml:space="preserve">. </w:t>
      </w:r>
      <w:r w:rsidR="00C34337">
        <w:rPr>
          <w:rFonts w:ascii="Times New Roman" w:hAnsi="Times New Roman" w:cs="Times New Roman"/>
          <w:sz w:val="24"/>
          <w:szCs w:val="24"/>
        </w:rPr>
        <w:t>These are</w:t>
      </w:r>
      <w:r w:rsidR="00E76C80">
        <w:rPr>
          <w:rFonts w:ascii="Times New Roman" w:hAnsi="Times New Roman" w:cs="Times New Roman"/>
          <w:sz w:val="24"/>
          <w:szCs w:val="24"/>
        </w:rPr>
        <w:t xml:space="preserve"> example</w:t>
      </w:r>
      <w:r w:rsidR="00C34337">
        <w:rPr>
          <w:rFonts w:ascii="Times New Roman" w:hAnsi="Times New Roman" w:cs="Times New Roman"/>
          <w:sz w:val="24"/>
          <w:szCs w:val="24"/>
        </w:rPr>
        <w:t>s</w:t>
      </w:r>
      <w:r w:rsidR="00E76C80">
        <w:rPr>
          <w:rFonts w:ascii="Times New Roman" w:hAnsi="Times New Roman" w:cs="Times New Roman"/>
          <w:sz w:val="24"/>
          <w:szCs w:val="24"/>
        </w:rPr>
        <w:t xml:space="preserve"> of a government influencing the internet by pressuring citizens to conform to certain </w:t>
      </w:r>
      <w:r w:rsidR="00DB5BD6">
        <w:rPr>
          <w:rFonts w:ascii="Times New Roman" w:hAnsi="Times New Roman" w:cs="Times New Roman"/>
          <w:sz w:val="24"/>
          <w:szCs w:val="24"/>
        </w:rPr>
        <w:t xml:space="preserve">digital </w:t>
      </w:r>
      <w:r w:rsidR="00E76C80">
        <w:rPr>
          <w:rFonts w:ascii="Times New Roman" w:hAnsi="Times New Roman" w:cs="Times New Roman"/>
          <w:sz w:val="24"/>
          <w:szCs w:val="24"/>
        </w:rPr>
        <w:t>activity</w:t>
      </w:r>
      <w:r w:rsidR="00E76C80" w:rsidRPr="00004A5E">
        <w:rPr>
          <w:rFonts w:ascii="Times New Roman" w:hAnsi="Times New Roman" w:cs="Times New Roman"/>
          <w:sz w:val="24"/>
          <w:szCs w:val="24"/>
        </w:rPr>
        <w:t>.</w:t>
      </w:r>
    </w:p>
    <w:p w:rsidR="002D3A65" w:rsidRPr="00004A5E" w:rsidRDefault="002D3A65" w:rsidP="00E26CF6">
      <w:pPr>
        <w:spacing w:line="480" w:lineRule="auto"/>
        <w:ind w:firstLine="720"/>
        <w:rPr>
          <w:rFonts w:ascii="Times New Roman" w:hAnsi="Times New Roman" w:cs="Times New Roman"/>
          <w:sz w:val="24"/>
          <w:szCs w:val="24"/>
        </w:rPr>
      </w:pPr>
      <w:r w:rsidRPr="00004A5E">
        <w:rPr>
          <w:rFonts w:ascii="Times New Roman" w:hAnsi="Times New Roman" w:cs="Times New Roman"/>
          <w:sz w:val="24"/>
          <w:szCs w:val="24"/>
        </w:rPr>
        <w:t>Edward Snowden restarted the debate with his 2013 leaks detailing the surveillance capacities of the United States Government. Snowden, in concert with the Guardian and other sources, revealed the immense depth and breadth of United States surveillance programs, programs which lack adequa</w:t>
      </w:r>
      <w:r w:rsidR="0046020B" w:rsidRPr="00004A5E">
        <w:rPr>
          <w:rFonts w:ascii="Times New Roman" w:hAnsi="Times New Roman" w:cs="Times New Roman"/>
          <w:sz w:val="24"/>
          <w:szCs w:val="24"/>
        </w:rPr>
        <w:t xml:space="preserve">te safeguards to prevent misuse </w:t>
      </w:r>
      <w:r w:rsidR="007C356F" w:rsidRPr="00004A5E">
        <w:rPr>
          <w:rFonts w:ascii="Times New Roman" w:hAnsi="Times New Roman" w:cs="Times New Roman"/>
          <w:sz w:val="24"/>
          <w:szCs w:val="24"/>
        </w:rPr>
        <w:fldChar w:fldCharType="begin" w:fldLock="1"/>
      </w:r>
      <w:r w:rsidR="00AC0160" w:rsidRPr="00004A5E">
        <w:rPr>
          <w:rFonts w:ascii="Times New Roman" w:hAnsi="Times New Roman" w:cs="Times New Roman"/>
          <w:sz w:val="24"/>
          <w:szCs w:val="24"/>
        </w:rPr>
        <w:instrText>ADDIN CSL_CITATION { "citationItems" : [ { "id" : "ITEM-1", "itemData" : { "author" : [ { "dropping-particle" : "", "family" : "MACASKILL", "given" : "Ewen", "non-dropping-particle" : "", "parse-names" : false, "suffix" : "" }, { "dropping-particle" : "", "family" : "DANCE", "given" : "Gabriel", "non-dropping-particle" : "", "parse-names" : false, "suffix" : "" } ], "container-title" : "The Guardian", "id" : "ITEM-1", "issued" : { "date-parts" : [ [ "2013", "11", "1" ] ] }, "title" : "NSA Files: Decoded", "type" : "article-newspaper" }, "uris" : [ "http://www.mendeley.com/documents/?uuid=c594eb36-9e43-4bd0-83c5-3355c0e985bb" ] } ], "mendeley" : { "formattedCitation" : "(MACASKILL &amp; DANCE, 2013)", "plainTextFormattedCitation" : "(MACASKILL &amp; DANCE, 2013)", "previouslyFormattedCitation" : "(MACASKILL &amp; DANCE, 2013)" }, "properties" : { "noteIndex" : 0 }, "schema" : "https://github.com/citation-style-language/schema/raw/master/csl-citation.json" }</w:instrText>
      </w:r>
      <w:r w:rsidR="007C356F" w:rsidRPr="00004A5E">
        <w:rPr>
          <w:rFonts w:ascii="Times New Roman" w:hAnsi="Times New Roman" w:cs="Times New Roman"/>
          <w:sz w:val="24"/>
          <w:szCs w:val="24"/>
        </w:rPr>
        <w:fldChar w:fldCharType="separate"/>
      </w:r>
      <w:r w:rsidR="0046020B" w:rsidRPr="00004A5E">
        <w:rPr>
          <w:rFonts w:ascii="Times New Roman" w:hAnsi="Times New Roman" w:cs="Times New Roman"/>
          <w:noProof/>
          <w:sz w:val="24"/>
          <w:szCs w:val="24"/>
        </w:rPr>
        <w:t>(MACASKILL &amp; DANCE, 2013)</w:t>
      </w:r>
      <w:r w:rsidR="007C356F" w:rsidRPr="00004A5E">
        <w:rPr>
          <w:rFonts w:ascii="Times New Roman" w:hAnsi="Times New Roman" w:cs="Times New Roman"/>
          <w:sz w:val="24"/>
          <w:szCs w:val="24"/>
        </w:rPr>
        <w:fldChar w:fldCharType="end"/>
      </w:r>
      <w:r w:rsidR="0046020B" w:rsidRPr="00004A5E">
        <w:rPr>
          <w:rFonts w:ascii="Times New Roman" w:hAnsi="Times New Roman" w:cs="Times New Roman"/>
          <w:sz w:val="24"/>
          <w:szCs w:val="24"/>
        </w:rPr>
        <w:t xml:space="preserve">. </w:t>
      </w:r>
      <w:r w:rsidR="00AF30D0" w:rsidRPr="00004A5E">
        <w:rPr>
          <w:rFonts w:ascii="Times New Roman" w:hAnsi="Times New Roman" w:cs="Times New Roman"/>
          <w:sz w:val="24"/>
          <w:szCs w:val="24"/>
        </w:rPr>
        <w:t>Europe is</w:t>
      </w:r>
      <w:r w:rsidRPr="00004A5E">
        <w:rPr>
          <w:rFonts w:ascii="Times New Roman" w:hAnsi="Times New Roman" w:cs="Times New Roman"/>
          <w:sz w:val="24"/>
          <w:szCs w:val="24"/>
        </w:rPr>
        <w:t xml:space="preserve"> much more focused on privacy than the United States</w:t>
      </w:r>
      <w:r w:rsidR="00617450" w:rsidRPr="00004A5E">
        <w:rPr>
          <w:rFonts w:ascii="Times New Roman" w:hAnsi="Times New Roman" w:cs="Times New Roman"/>
          <w:sz w:val="24"/>
          <w:szCs w:val="24"/>
        </w:rPr>
        <w:t xml:space="preserve"> </w:t>
      </w:r>
      <w:r w:rsidR="007C356F" w:rsidRPr="00004A5E">
        <w:rPr>
          <w:rFonts w:ascii="Times New Roman" w:hAnsi="Times New Roman" w:cs="Times New Roman"/>
          <w:sz w:val="24"/>
          <w:szCs w:val="24"/>
        </w:rPr>
        <w:fldChar w:fldCharType="begin" w:fldLock="1"/>
      </w:r>
      <w:r w:rsidR="00174C13" w:rsidRPr="00004A5E">
        <w:rPr>
          <w:rFonts w:ascii="Times New Roman" w:hAnsi="Times New Roman" w:cs="Times New Roman"/>
          <w:sz w:val="24"/>
          <w:szCs w:val="24"/>
        </w:rPr>
        <w:instrText>ADDIN CSL_CITATION { "citationItems" : [ { "id" : "ITEM-1", "itemData" : { "abstract" : "Recent developments in the European Union (EU) have highlighted the po- tential for the development of a \"right to be forgotten.\" For United States (US) companies, especially those operating on the Internet, the development and en- forcement of such a right could prove to be quite problematic. This Article out- lines the practical implications of such a right, pointing the way toward possibil- ities for reconciliation of US and EU views on the application of a right to be forgotten.", "author" : [ { "dropping-particle" : "", "family" : "Bennett", "given" : "Steven C", "non-dropping-particle" : "", "parse-names" : false, "suffix" : "" } ], "container-title" : "Berkeley Journal of International Law", "id" : "ITEM-1", "issue" : "1", "issued" : { "date-parts" : [ [ "2010" ] ] }, "page" : "161-195", "title" : "The \"Right to Be Forgotten\": Reconciling EU and US Perspectives", "type" : "article-journal", "volume" : "30" }, "uris" : [ "http://www.mendeley.com/documents/?uuid=29ec7d44-6db0-415a-b05d-c428f58839e5" ] } ], "mendeley" : { "formattedCitation" : "(Bennett, 2010)", "plainTextFormattedCitation" : "(Bennett, 2010)", "previouslyFormattedCitation" : "(Bennett, 2010)" }, "properties" : { "noteIndex" : 0 }, "schema" : "https://github.com/citation-style-language/schema/raw/master/csl-citation.json" }</w:instrText>
      </w:r>
      <w:r w:rsidR="007C356F" w:rsidRPr="00004A5E">
        <w:rPr>
          <w:rFonts w:ascii="Times New Roman" w:hAnsi="Times New Roman" w:cs="Times New Roman"/>
          <w:sz w:val="24"/>
          <w:szCs w:val="24"/>
        </w:rPr>
        <w:fldChar w:fldCharType="separate"/>
      </w:r>
      <w:r w:rsidR="00617450" w:rsidRPr="00004A5E">
        <w:rPr>
          <w:rFonts w:ascii="Times New Roman" w:hAnsi="Times New Roman" w:cs="Times New Roman"/>
          <w:noProof/>
          <w:sz w:val="24"/>
          <w:szCs w:val="24"/>
        </w:rPr>
        <w:t>(Bennett, 2010)</w:t>
      </w:r>
      <w:r w:rsidR="007C356F" w:rsidRPr="00004A5E">
        <w:rPr>
          <w:rFonts w:ascii="Times New Roman" w:hAnsi="Times New Roman" w:cs="Times New Roman"/>
          <w:sz w:val="24"/>
          <w:szCs w:val="24"/>
        </w:rPr>
        <w:fldChar w:fldCharType="end"/>
      </w:r>
      <w:r w:rsidRPr="00004A5E">
        <w:rPr>
          <w:rFonts w:ascii="Times New Roman" w:hAnsi="Times New Roman" w:cs="Times New Roman"/>
          <w:sz w:val="24"/>
          <w:szCs w:val="24"/>
        </w:rPr>
        <w:t xml:space="preserve">. </w:t>
      </w:r>
      <w:r w:rsidR="003720D3" w:rsidRPr="00004A5E">
        <w:rPr>
          <w:rFonts w:ascii="Times New Roman" w:hAnsi="Times New Roman" w:cs="Times New Roman"/>
          <w:sz w:val="24"/>
          <w:szCs w:val="24"/>
        </w:rPr>
        <w:t xml:space="preserve">If people are afraid that </w:t>
      </w:r>
      <w:r w:rsidR="00D804DE">
        <w:rPr>
          <w:rFonts w:ascii="Times New Roman" w:hAnsi="Times New Roman" w:cs="Times New Roman"/>
          <w:sz w:val="24"/>
          <w:szCs w:val="24"/>
        </w:rPr>
        <w:t xml:space="preserve">their government is tracking their thoughts, writings, and actions without probable cause or a warrant, </w:t>
      </w:r>
      <w:r w:rsidR="003720D3" w:rsidRPr="00004A5E">
        <w:rPr>
          <w:rFonts w:ascii="Times New Roman" w:hAnsi="Times New Roman" w:cs="Times New Roman"/>
          <w:sz w:val="24"/>
          <w:szCs w:val="24"/>
        </w:rPr>
        <w:t>people may self-censor</w:t>
      </w:r>
      <w:r w:rsidR="00AF30D0" w:rsidRPr="00004A5E">
        <w:rPr>
          <w:rFonts w:ascii="Times New Roman" w:hAnsi="Times New Roman" w:cs="Times New Roman"/>
          <w:sz w:val="24"/>
          <w:szCs w:val="24"/>
        </w:rPr>
        <w:t xml:space="preserve"> out of</w:t>
      </w:r>
      <w:r w:rsidR="00D804DE">
        <w:rPr>
          <w:rFonts w:ascii="Times New Roman" w:hAnsi="Times New Roman" w:cs="Times New Roman"/>
          <w:sz w:val="24"/>
          <w:szCs w:val="24"/>
        </w:rPr>
        <w:t xml:space="preserve"> fear</w:t>
      </w:r>
      <w:r w:rsidR="00AF30D0" w:rsidRPr="00004A5E">
        <w:rPr>
          <w:rFonts w:ascii="Times New Roman" w:hAnsi="Times New Roman" w:cs="Times New Roman"/>
          <w:sz w:val="24"/>
          <w:szCs w:val="24"/>
        </w:rPr>
        <w:t xml:space="preserve">. </w:t>
      </w:r>
    </w:p>
    <w:p w:rsidR="000664A6" w:rsidRPr="00004A5E" w:rsidRDefault="000664A6" w:rsidP="00004A5E">
      <w:pPr>
        <w:pStyle w:val="Heading1"/>
        <w:jc w:val="center"/>
        <w:rPr>
          <w:rFonts w:ascii="Times New Roman" w:hAnsi="Times New Roman" w:cs="Times New Roman"/>
        </w:rPr>
      </w:pPr>
      <w:r w:rsidRPr="00004A5E">
        <w:rPr>
          <w:rFonts w:ascii="Times New Roman" w:hAnsi="Times New Roman" w:cs="Times New Roman"/>
        </w:rPr>
        <w:t>Conclusion</w:t>
      </w:r>
    </w:p>
    <w:p w:rsidR="00174C13" w:rsidRPr="00004A5E" w:rsidRDefault="00B51540" w:rsidP="00174C13">
      <w:pPr>
        <w:spacing w:line="480" w:lineRule="auto"/>
        <w:ind w:firstLine="720"/>
        <w:rPr>
          <w:rFonts w:ascii="Times New Roman" w:hAnsi="Times New Roman" w:cs="Times New Roman"/>
          <w:sz w:val="24"/>
          <w:szCs w:val="24"/>
        </w:rPr>
      </w:pPr>
      <w:r w:rsidRPr="00004A5E">
        <w:rPr>
          <w:rFonts w:ascii="Times New Roman" w:hAnsi="Times New Roman" w:cs="Times New Roman"/>
          <w:sz w:val="24"/>
          <w:szCs w:val="24"/>
        </w:rPr>
        <w:t xml:space="preserve">For the past two and a half decades, the internet has been instrumental for protest movements around the world. </w:t>
      </w:r>
      <w:r w:rsidR="00174C13" w:rsidRPr="00004A5E">
        <w:rPr>
          <w:rFonts w:ascii="Times New Roman" w:hAnsi="Times New Roman" w:cs="Times New Roman"/>
          <w:sz w:val="24"/>
          <w:szCs w:val="24"/>
        </w:rPr>
        <w:t xml:space="preserve">The internet has changed the dynamics of protests, but the fundamentals remain unchanged: if people are unhappy enough they will do something about it. </w:t>
      </w:r>
    </w:p>
    <w:p w:rsidR="00A44395" w:rsidRPr="00004A5E" w:rsidRDefault="00174C13" w:rsidP="00BE44F2">
      <w:pPr>
        <w:spacing w:line="480" w:lineRule="auto"/>
        <w:ind w:firstLine="720"/>
        <w:rPr>
          <w:rFonts w:ascii="Times New Roman" w:hAnsi="Times New Roman" w:cs="Times New Roman"/>
          <w:sz w:val="24"/>
          <w:szCs w:val="24"/>
        </w:rPr>
      </w:pPr>
      <w:r w:rsidRPr="00004A5E">
        <w:rPr>
          <w:rFonts w:ascii="Times New Roman" w:hAnsi="Times New Roman" w:cs="Times New Roman"/>
          <w:sz w:val="24"/>
          <w:szCs w:val="24"/>
        </w:rPr>
        <w:t>C</w:t>
      </w:r>
      <w:r w:rsidR="00A44395" w:rsidRPr="00004A5E">
        <w:rPr>
          <w:rFonts w:ascii="Times New Roman" w:hAnsi="Times New Roman" w:cs="Times New Roman"/>
          <w:sz w:val="24"/>
          <w:szCs w:val="24"/>
        </w:rPr>
        <w:t xml:space="preserve">ontrary to simplistic internet-optimist perspectives, challenges to openness have already emerged and will continue to emerge. From a purely technical perspective, the internet has a number of weak points which governments can exploit to disrupt protest movements. </w:t>
      </w:r>
      <w:r w:rsidR="005E136A" w:rsidRPr="00004A5E">
        <w:rPr>
          <w:rFonts w:ascii="Times New Roman" w:hAnsi="Times New Roman" w:cs="Times New Roman"/>
          <w:sz w:val="24"/>
          <w:szCs w:val="24"/>
        </w:rPr>
        <w:t>S</w:t>
      </w:r>
      <w:r w:rsidR="00A44395" w:rsidRPr="00004A5E">
        <w:rPr>
          <w:rFonts w:ascii="Times New Roman" w:hAnsi="Times New Roman" w:cs="Times New Roman"/>
          <w:sz w:val="24"/>
          <w:szCs w:val="24"/>
        </w:rPr>
        <w:t xml:space="preserve">ignal jammers and IMSI catchers have not been used with malicious or counter-democratic intent </w:t>
      </w:r>
      <w:r w:rsidR="005E136A" w:rsidRPr="00004A5E">
        <w:rPr>
          <w:rFonts w:ascii="Times New Roman" w:hAnsi="Times New Roman" w:cs="Times New Roman"/>
          <w:sz w:val="24"/>
          <w:szCs w:val="24"/>
        </w:rPr>
        <w:t xml:space="preserve">in Europe nor the United States, but </w:t>
      </w:r>
      <w:r w:rsidR="007E31A7">
        <w:rPr>
          <w:rFonts w:ascii="Times New Roman" w:hAnsi="Times New Roman" w:cs="Times New Roman"/>
          <w:sz w:val="24"/>
          <w:szCs w:val="24"/>
        </w:rPr>
        <w:t xml:space="preserve">they </w:t>
      </w:r>
      <w:r w:rsidR="00C0375C">
        <w:rPr>
          <w:rFonts w:ascii="Times New Roman" w:hAnsi="Times New Roman" w:cs="Times New Roman"/>
          <w:sz w:val="24"/>
          <w:szCs w:val="24"/>
        </w:rPr>
        <w:t>exist, and their effective application would likely stifle a movement’s digital communications.</w:t>
      </w:r>
    </w:p>
    <w:p w:rsidR="00617450" w:rsidRPr="00004A5E" w:rsidRDefault="00830B7A" w:rsidP="00174C1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Government </w:t>
      </w:r>
      <w:r w:rsidR="00442CD6">
        <w:rPr>
          <w:rFonts w:ascii="Times New Roman" w:hAnsi="Times New Roman" w:cs="Times New Roman"/>
          <w:sz w:val="24"/>
          <w:szCs w:val="24"/>
        </w:rPr>
        <w:t xml:space="preserve">policy </w:t>
      </w:r>
      <w:r>
        <w:rPr>
          <w:rFonts w:ascii="Times New Roman" w:hAnsi="Times New Roman" w:cs="Times New Roman"/>
          <w:sz w:val="24"/>
          <w:szCs w:val="24"/>
        </w:rPr>
        <w:t>significantly influences the internet’s overall atmosphere</w:t>
      </w:r>
      <w:r w:rsidR="00004A5E" w:rsidRPr="00004A5E">
        <w:rPr>
          <w:rFonts w:ascii="Times New Roman" w:hAnsi="Times New Roman" w:cs="Times New Roman"/>
          <w:sz w:val="24"/>
          <w:szCs w:val="24"/>
        </w:rPr>
        <w:t>.</w:t>
      </w:r>
      <w:r w:rsidR="00735D7B" w:rsidRPr="00004A5E">
        <w:rPr>
          <w:rFonts w:ascii="Times New Roman" w:hAnsi="Times New Roman" w:cs="Times New Roman"/>
          <w:sz w:val="24"/>
          <w:szCs w:val="24"/>
        </w:rPr>
        <w:t xml:space="preserve"> </w:t>
      </w:r>
      <w:r w:rsidR="00123FCD" w:rsidRPr="00004A5E">
        <w:rPr>
          <w:rFonts w:ascii="Times New Roman" w:hAnsi="Times New Roman" w:cs="Times New Roman"/>
          <w:sz w:val="24"/>
          <w:szCs w:val="24"/>
        </w:rPr>
        <w:t>Mass movements have benefited from a general lack of government savvy</w:t>
      </w:r>
      <w:r w:rsidR="00004A5E" w:rsidRPr="00004A5E">
        <w:rPr>
          <w:rFonts w:ascii="Times New Roman" w:hAnsi="Times New Roman" w:cs="Times New Roman"/>
          <w:sz w:val="24"/>
          <w:szCs w:val="24"/>
        </w:rPr>
        <w:t xml:space="preserve">, but this advantage is </w:t>
      </w:r>
      <w:r>
        <w:rPr>
          <w:rFonts w:ascii="Times New Roman" w:hAnsi="Times New Roman" w:cs="Times New Roman"/>
          <w:sz w:val="24"/>
          <w:szCs w:val="24"/>
        </w:rPr>
        <w:t xml:space="preserve">now </w:t>
      </w:r>
      <w:r w:rsidR="00004A5E" w:rsidRPr="00004A5E">
        <w:rPr>
          <w:rFonts w:ascii="Times New Roman" w:hAnsi="Times New Roman" w:cs="Times New Roman"/>
          <w:sz w:val="24"/>
          <w:szCs w:val="24"/>
        </w:rPr>
        <w:t>evaporating</w:t>
      </w:r>
      <w:r>
        <w:rPr>
          <w:rFonts w:ascii="Times New Roman" w:hAnsi="Times New Roman" w:cs="Times New Roman"/>
          <w:sz w:val="24"/>
          <w:szCs w:val="24"/>
        </w:rPr>
        <w:t xml:space="preserve"> as governments slowly catch up to speed</w:t>
      </w:r>
      <w:r w:rsidR="00004A5E" w:rsidRPr="00004A5E">
        <w:rPr>
          <w:rFonts w:ascii="Times New Roman" w:hAnsi="Times New Roman" w:cs="Times New Roman"/>
          <w:sz w:val="24"/>
          <w:szCs w:val="24"/>
        </w:rPr>
        <w:t xml:space="preserve">. </w:t>
      </w:r>
      <w:r w:rsidR="00C34337">
        <w:rPr>
          <w:rFonts w:ascii="Times New Roman" w:hAnsi="Times New Roman" w:cs="Times New Roman"/>
          <w:sz w:val="24"/>
          <w:szCs w:val="24"/>
        </w:rPr>
        <w:t xml:space="preserve">Recent US Government actions have fostered </w:t>
      </w:r>
      <w:r w:rsidR="002D19CA">
        <w:rPr>
          <w:rFonts w:ascii="Times New Roman" w:hAnsi="Times New Roman" w:cs="Times New Roman"/>
          <w:sz w:val="24"/>
          <w:szCs w:val="24"/>
        </w:rPr>
        <w:t xml:space="preserve">international </w:t>
      </w:r>
      <w:r w:rsidR="00C34337">
        <w:rPr>
          <w:rFonts w:ascii="Times New Roman" w:hAnsi="Times New Roman" w:cs="Times New Roman"/>
          <w:sz w:val="24"/>
          <w:szCs w:val="24"/>
        </w:rPr>
        <w:t>chilling effects, encouraging self-censor</w:t>
      </w:r>
      <w:bookmarkStart w:id="0" w:name="_GoBack"/>
      <w:bookmarkEnd w:id="0"/>
      <w:r w:rsidR="00C34337">
        <w:rPr>
          <w:rFonts w:ascii="Times New Roman" w:hAnsi="Times New Roman" w:cs="Times New Roman"/>
          <w:sz w:val="24"/>
          <w:szCs w:val="24"/>
        </w:rPr>
        <w:t>ship and making people less likely to speak their minds</w:t>
      </w:r>
      <w:r w:rsidR="002D19CA">
        <w:rPr>
          <w:rFonts w:ascii="Times New Roman" w:hAnsi="Times New Roman" w:cs="Times New Roman"/>
          <w:sz w:val="24"/>
          <w:szCs w:val="24"/>
        </w:rPr>
        <w:t xml:space="preserve"> online</w:t>
      </w:r>
      <w:r w:rsidR="00C34337">
        <w:rPr>
          <w:rFonts w:ascii="Times New Roman" w:hAnsi="Times New Roman" w:cs="Times New Roman"/>
          <w:sz w:val="24"/>
          <w:szCs w:val="24"/>
        </w:rPr>
        <w:t xml:space="preserve">. </w:t>
      </w:r>
      <w:r w:rsidR="00617450" w:rsidRPr="00004A5E">
        <w:rPr>
          <w:rFonts w:ascii="Times New Roman" w:hAnsi="Times New Roman" w:cs="Times New Roman"/>
          <w:sz w:val="24"/>
          <w:szCs w:val="24"/>
        </w:rPr>
        <w:t xml:space="preserve">In the words of Evgeny Morozov, “preserving the liberating potential of the net will be hard work” </w:t>
      </w:r>
      <w:r w:rsidR="007C356F" w:rsidRPr="00004A5E">
        <w:rPr>
          <w:rFonts w:ascii="Times New Roman" w:hAnsi="Times New Roman" w:cs="Times New Roman"/>
          <w:sz w:val="24"/>
          <w:szCs w:val="24"/>
        </w:rPr>
        <w:fldChar w:fldCharType="begin" w:fldLock="1"/>
      </w:r>
      <w:r w:rsidR="00617450" w:rsidRPr="00004A5E">
        <w:rPr>
          <w:rFonts w:ascii="Times New Roman" w:hAnsi="Times New Roman" w:cs="Times New Roman"/>
          <w:sz w:val="24"/>
          <w:szCs w:val="24"/>
        </w:rPr>
        <w:instrText>ADDIN CSL_CITATION { "citationItems" : [ { "id" : "ITEM-1", "itemData" : { "ISBN" : "9781586488741", "abstract" : "Includes bibliographical references and index. LA - eng H1 - UB Greifswald H2 - 610/AP 18420 M871 H1 - SUB+Uni Hamburg H2 - G MOR 48193 H1 - Stiftung Sozialgeschichte H2 - 165.20.45/1 TS - GBV Gemeinsamer Bibliotheksverbund", "author" : [ { "dropping-particle" : "", "family" : "Morozov", "given" : "Evgeny", "non-dropping-particle" : "", "parse-names" : false, "suffix" : "" } ], "container-title" : "New York", "id" : "ITEM-1", "issue" : "04", "issued" : { "date-parts" : [ [ "2011" ] ] }, "note" : "Look into the segment on outsmarting protesters", "page" : "432", "title" : "The Net Delusion", "type" : "article-journal", "volume" : "9" }, "uris" : [ "http://www.mendeley.com/documents/?uuid=63843b46-0d03-4695-9263-f74118017454" ] } ], "mendeley" : { "formattedCitation" : "(Morozov, 2011)", "plainTextFormattedCitation" : "(Morozov, 2011)", "previouslyFormattedCitation" : "(Morozov, 2011)" }, "properties" : { "noteIndex" : 0 }, "schema" : "https://github.com/citation-style-language/schema/raw/master/csl-citation.json" }</w:instrText>
      </w:r>
      <w:r w:rsidR="007C356F" w:rsidRPr="00004A5E">
        <w:rPr>
          <w:rFonts w:ascii="Times New Roman" w:hAnsi="Times New Roman" w:cs="Times New Roman"/>
          <w:sz w:val="24"/>
          <w:szCs w:val="24"/>
        </w:rPr>
        <w:fldChar w:fldCharType="separate"/>
      </w:r>
      <w:r w:rsidR="00617450" w:rsidRPr="00004A5E">
        <w:rPr>
          <w:rFonts w:ascii="Times New Roman" w:hAnsi="Times New Roman" w:cs="Times New Roman"/>
          <w:noProof/>
          <w:sz w:val="24"/>
          <w:szCs w:val="24"/>
        </w:rPr>
        <w:t>(Morozov, 2011)</w:t>
      </w:r>
      <w:r w:rsidR="007C356F" w:rsidRPr="00004A5E">
        <w:rPr>
          <w:rFonts w:ascii="Times New Roman" w:hAnsi="Times New Roman" w:cs="Times New Roman"/>
          <w:sz w:val="24"/>
          <w:szCs w:val="24"/>
        </w:rPr>
        <w:fldChar w:fldCharType="end"/>
      </w:r>
      <w:r w:rsidR="00617450" w:rsidRPr="00004A5E">
        <w:rPr>
          <w:rFonts w:ascii="Times New Roman" w:hAnsi="Times New Roman" w:cs="Times New Roman"/>
          <w:sz w:val="24"/>
          <w:szCs w:val="24"/>
        </w:rPr>
        <w:t xml:space="preserve">. </w:t>
      </w:r>
    </w:p>
    <w:p w:rsidR="00174C13" w:rsidRPr="00004A5E" w:rsidRDefault="00174C13" w:rsidP="00174C13">
      <w:pPr>
        <w:spacing w:line="480" w:lineRule="auto"/>
        <w:ind w:firstLine="720"/>
        <w:jc w:val="center"/>
        <w:rPr>
          <w:rFonts w:ascii="Times New Roman" w:hAnsi="Times New Roman" w:cs="Times New Roman"/>
          <w:sz w:val="24"/>
          <w:szCs w:val="24"/>
        </w:rPr>
      </w:pPr>
      <w:r w:rsidRPr="00004A5E">
        <w:rPr>
          <w:rFonts w:ascii="Times New Roman" w:hAnsi="Times New Roman" w:cs="Times New Roman"/>
          <w:sz w:val="24"/>
          <w:szCs w:val="24"/>
        </w:rPr>
        <w:t>References</w:t>
      </w:r>
    </w:p>
    <w:p w:rsidR="007B27F6" w:rsidRPr="007B27F6" w:rsidRDefault="007C356F">
      <w:pPr>
        <w:pStyle w:val="NormalWeb"/>
        <w:ind w:left="480" w:hanging="480"/>
        <w:divId w:val="325864540"/>
        <w:rPr>
          <w:noProof/>
        </w:rPr>
      </w:pPr>
      <w:r w:rsidRPr="007C356F">
        <w:fldChar w:fldCharType="begin" w:fldLock="1"/>
      </w:r>
      <w:r w:rsidR="007B27F6">
        <w:instrText xml:space="preserve">ADDIN Mendeley Bibliography CSL_BIBLIOGRAPHY </w:instrText>
      </w:r>
      <w:r w:rsidRPr="007C356F">
        <w:fldChar w:fldCharType="separate"/>
      </w:r>
      <w:r w:rsidR="007B27F6" w:rsidRPr="007B27F6">
        <w:rPr>
          <w:noProof/>
        </w:rPr>
        <w:t xml:space="preserve">Anduiza, E., Cristancho, C., &amp; Sabucedo, J. M. (2013). Mobilization through online social networks: the political protest of the indignados in Spain. </w:t>
      </w:r>
      <w:r w:rsidR="007B27F6" w:rsidRPr="007B27F6">
        <w:rPr>
          <w:i/>
          <w:iCs/>
          <w:noProof/>
        </w:rPr>
        <w:t>Information, Communication &amp; Society</w:t>
      </w:r>
      <w:r w:rsidR="007B27F6" w:rsidRPr="007B27F6">
        <w:rPr>
          <w:noProof/>
        </w:rPr>
        <w:t>, (January 2014), 1–15. http://doi.org/10.1080/1369118X.2013.808360</w:t>
      </w:r>
    </w:p>
    <w:p w:rsidR="007B27F6" w:rsidRPr="007B27F6" w:rsidRDefault="007B27F6">
      <w:pPr>
        <w:pStyle w:val="NormalWeb"/>
        <w:ind w:left="480" w:hanging="480"/>
        <w:divId w:val="325864540"/>
        <w:rPr>
          <w:noProof/>
        </w:rPr>
      </w:pPr>
      <w:r w:rsidRPr="007B27F6">
        <w:rPr>
          <w:noProof/>
        </w:rPr>
        <w:t>Benkler, Y. (2011). A Free Irresponsible Press</w:t>
      </w:r>
      <w:r w:rsidRPr="007B27F6">
        <w:rPr>
          <w:rFonts w:ascii="Menlo Regular" w:hAnsi="Menlo Regular" w:cs="Menlo Regular"/>
          <w:noProof/>
        </w:rPr>
        <w:t> </w:t>
      </w:r>
      <w:r w:rsidRPr="007B27F6">
        <w:rPr>
          <w:noProof/>
        </w:rPr>
        <w:t xml:space="preserve">: Wikileaks and the Battle over the Soul of the Networked Fourth Estate. </w:t>
      </w:r>
      <w:r w:rsidRPr="007B27F6">
        <w:rPr>
          <w:i/>
          <w:iCs/>
          <w:noProof/>
        </w:rPr>
        <w:t>Harvard Civil Rights-Civil Liberties Law Review</w:t>
      </w:r>
      <w:r w:rsidRPr="007B27F6">
        <w:rPr>
          <w:noProof/>
        </w:rPr>
        <w:t xml:space="preserve">, </w:t>
      </w:r>
      <w:r w:rsidRPr="007B27F6">
        <w:rPr>
          <w:i/>
          <w:iCs/>
          <w:noProof/>
        </w:rPr>
        <w:t>19</w:t>
      </w:r>
      <w:r w:rsidRPr="007B27F6">
        <w:rPr>
          <w:noProof/>
        </w:rPr>
        <w:t>, 1–93. Retrieved from http://harvardcrcl.org/wp-content/uploads/2011/08/Benkler.pdf</w:t>
      </w:r>
    </w:p>
    <w:p w:rsidR="007B27F6" w:rsidRPr="007B27F6" w:rsidRDefault="007B27F6">
      <w:pPr>
        <w:pStyle w:val="NormalWeb"/>
        <w:ind w:left="480" w:hanging="480"/>
        <w:divId w:val="325864540"/>
        <w:rPr>
          <w:noProof/>
        </w:rPr>
      </w:pPr>
      <w:r w:rsidRPr="007B27F6">
        <w:rPr>
          <w:noProof/>
        </w:rPr>
        <w:t xml:space="preserve">Bennett, S. C. (2010). The “Right to Be Forgotten”: Reconciling EU and US Perspectives. </w:t>
      </w:r>
      <w:r w:rsidRPr="007B27F6">
        <w:rPr>
          <w:i/>
          <w:iCs/>
          <w:noProof/>
        </w:rPr>
        <w:t>Berkeley Journal of International Law</w:t>
      </w:r>
      <w:r w:rsidRPr="007B27F6">
        <w:rPr>
          <w:noProof/>
        </w:rPr>
        <w:t xml:space="preserve">, </w:t>
      </w:r>
      <w:r w:rsidRPr="007B27F6">
        <w:rPr>
          <w:i/>
          <w:iCs/>
          <w:noProof/>
        </w:rPr>
        <w:t>30</w:t>
      </w:r>
      <w:r w:rsidRPr="007B27F6">
        <w:rPr>
          <w:noProof/>
        </w:rPr>
        <w:t>(1), 161–195.</w:t>
      </w:r>
    </w:p>
    <w:p w:rsidR="007B27F6" w:rsidRPr="007B27F6" w:rsidRDefault="007B27F6">
      <w:pPr>
        <w:pStyle w:val="NormalWeb"/>
        <w:ind w:left="480" w:hanging="480"/>
        <w:divId w:val="325864540"/>
        <w:rPr>
          <w:noProof/>
        </w:rPr>
      </w:pPr>
      <w:r w:rsidRPr="007B27F6">
        <w:rPr>
          <w:noProof/>
        </w:rPr>
        <w:t xml:space="preserve">Chen, C. (2004). United States and European Union Approaches to Internet Jurisdiction and Their Impact on E-Commerce. </w:t>
      </w:r>
      <w:r w:rsidRPr="007B27F6">
        <w:rPr>
          <w:i/>
          <w:iCs/>
          <w:noProof/>
        </w:rPr>
        <w:t>University of Pennsylvania Journal of International Economic Law</w:t>
      </w:r>
      <w:r w:rsidRPr="007B27F6">
        <w:rPr>
          <w:noProof/>
        </w:rPr>
        <w:t xml:space="preserve">, </w:t>
      </w:r>
      <w:r w:rsidRPr="007B27F6">
        <w:rPr>
          <w:i/>
          <w:iCs/>
          <w:noProof/>
        </w:rPr>
        <w:t>25</w:t>
      </w:r>
      <w:r w:rsidRPr="007B27F6">
        <w:rPr>
          <w:noProof/>
        </w:rPr>
        <w:t>(Spring), 423.</w:t>
      </w:r>
    </w:p>
    <w:p w:rsidR="007B27F6" w:rsidRPr="007B27F6" w:rsidRDefault="007B27F6">
      <w:pPr>
        <w:pStyle w:val="NormalWeb"/>
        <w:ind w:left="480" w:hanging="480"/>
        <w:divId w:val="325864540"/>
        <w:rPr>
          <w:noProof/>
        </w:rPr>
      </w:pPr>
      <w:r w:rsidRPr="007B27F6">
        <w:rPr>
          <w:noProof/>
        </w:rPr>
        <w:t xml:space="preserve">Chittum, T. L. I. (2012). Can You Hear Me Now? Cell Phone Jamming and the Tenth Amendment. </w:t>
      </w:r>
      <w:r w:rsidRPr="007B27F6">
        <w:rPr>
          <w:i/>
          <w:iCs/>
          <w:noProof/>
        </w:rPr>
        <w:t>Nevada Law Journal</w:t>
      </w:r>
      <w:r w:rsidRPr="007B27F6">
        <w:rPr>
          <w:noProof/>
        </w:rPr>
        <w:t xml:space="preserve">, </w:t>
      </w:r>
      <w:r w:rsidRPr="007B27F6">
        <w:rPr>
          <w:i/>
          <w:iCs/>
          <w:noProof/>
        </w:rPr>
        <w:t>13</w:t>
      </w:r>
      <w:r w:rsidRPr="007B27F6">
        <w:rPr>
          <w:noProof/>
        </w:rPr>
        <w:t>(1), 257–289.</w:t>
      </w:r>
    </w:p>
    <w:p w:rsidR="007B27F6" w:rsidRPr="007B27F6" w:rsidRDefault="007B27F6">
      <w:pPr>
        <w:pStyle w:val="NormalWeb"/>
        <w:ind w:left="480" w:hanging="480"/>
        <w:divId w:val="325864540"/>
        <w:rPr>
          <w:noProof/>
        </w:rPr>
      </w:pPr>
      <w:r w:rsidRPr="007B27F6">
        <w:rPr>
          <w:noProof/>
        </w:rPr>
        <w:t xml:space="preserve">Costanza-Chock, S. (2012). Mic Check! Media Cultures and the Occupy Movement. </w:t>
      </w:r>
      <w:r w:rsidRPr="007B27F6">
        <w:rPr>
          <w:i/>
          <w:iCs/>
          <w:noProof/>
        </w:rPr>
        <w:t>Social Movement Studies</w:t>
      </w:r>
      <w:r w:rsidRPr="007B27F6">
        <w:rPr>
          <w:noProof/>
        </w:rPr>
        <w:t xml:space="preserve">, </w:t>
      </w:r>
      <w:r w:rsidRPr="007B27F6">
        <w:rPr>
          <w:i/>
          <w:iCs/>
          <w:noProof/>
        </w:rPr>
        <w:t>11</w:t>
      </w:r>
      <w:r w:rsidRPr="007B27F6">
        <w:rPr>
          <w:noProof/>
        </w:rPr>
        <w:t>(3-4), 375–385. http://doi.org/10.1080/14742837.2012.710746</w:t>
      </w:r>
    </w:p>
    <w:p w:rsidR="007B27F6" w:rsidRPr="007B27F6" w:rsidRDefault="007B27F6">
      <w:pPr>
        <w:pStyle w:val="NormalWeb"/>
        <w:ind w:left="480" w:hanging="480"/>
        <w:divId w:val="325864540"/>
        <w:rPr>
          <w:noProof/>
        </w:rPr>
      </w:pPr>
      <w:r w:rsidRPr="007B27F6">
        <w:rPr>
          <w:noProof/>
        </w:rPr>
        <w:t>Empson, R. (2011). BART’s Interference In Subway Protests, A Step In The Wrong Direction For Digital Freedoms. Retrieved from http://techcrunch.com/2011/08/12/barts-interference-in-subway-protests-a-step-in-the-wrong-direction-for-digital-freedoms/</w:t>
      </w:r>
    </w:p>
    <w:p w:rsidR="007B27F6" w:rsidRPr="007B27F6" w:rsidRDefault="007B27F6">
      <w:pPr>
        <w:pStyle w:val="NormalWeb"/>
        <w:ind w:left="480" w:hanging="480"/>
        <w:divId w:val="325864540"/>
        <w:rPr>
          <w:noProof/>
        </w:rPr>
      </w:pPr>
      <w:r w:rsidRPr="007B27F6">
        <w:rPr>
          <w:noProof/>
        </w:rPr>
        <w:t xml:space="preserve">Eriksson, J., Giacomello, G., Salhi, H., Cavelty, M. D., Singh, J. P., &amp; Franklin, M. I. (2009). Who Controls the Internet? Beyond the Obstinacy or Obsolescence of the State. </w:t>
      </w:r>
      <w:r w:rsidRPr="007B27F6">
        <w:rPr>
          <w:i/>
          <w:iCs/>
          <w:noProof/>
        </w:rPr>
        <w:t>International Studies Review</w:t>
      </w:r>
      <w:r w:rsidRPr="007B27F6">
        <w:rPr>
          <w:noProof/>
        </w:rPr>
        <w:t xml:space="preserve">, </w:t>
      </w:r>
      <w:r w:rsidRPr="007B27F6">
        <w:rPr>
          <w:i/>
          <w:iCs/>
          <w:noProof/>
        </w:rPr>
        <w:t>11</w:t>
      </w:r>
      <w:r w:rsidRPr="007B27F6">
        <w:rPr>
          <w:noProof/>
        </w:rPr>
        <w:t>(1), 205–230.</w:t>
      </w:r>
    </w:p>
    <w:p w:rsidR="007B27F6" w:rsidRPr="007B27F6" w:rsidRDefault="007B27F6">
      <w:pPr>
        <w:pStyle w:val="NormalWeb"/>
        <w:ind w:left="480" w:hanging="480"/>
        <w:divId w:val="325864540"/>
        <w:rPr>
          <w:noProof/>
        </w:rPr>
      </w:pPr>
      <w:r w:rsidRPr="007B27F6">
        <w:rPr>
          <w:noProof/>
        </w:rPr>
        <w:t xml:space="preserve">Goldstein, J. (2007). The Role of Digital Networked Technologies in the Ukrainian Orange Revolution. </w:t>
      </w:r>
      <w:r w:rsidRPr="007B27F6">
        <w:rPr>
          <w:i/>
          <w:iCs/>
          <w:noProof/>
        </w:rPr>
        <w:t>American Political Science Review</w:t>
      </w:r>
      <w:r w:rsidRPr="007B27F6">
        <w:rPr>
          <w:noProof/>
        </w:rPr>
        <w:t xml:space="preserve">, </w:t>
      </w:r>
      <w:r w:rsidRPr="007B27F6">
        <w:rPr>
          <w:i/>
          <w:iCs/>
          <w:noProof/>
        </w:rPr>
        <w:t>7641</w:t>
      </w:r>
      <w:r w:rsidRPr="007B27F6">
        <w:rPr>
          <w:noProof/>
        </w:rPr>
        <w:t>(3), 790. http://doi.org/10.2307/2944858</w:t>
      </w:r>
    </w:p>
    <w:p w:rsidR="007B27F6" w:rsidRPr="007B27F6" w:rsidRDefault="007B27F6">
      <w:pPr>
        <w:pStyle w:val="NormalWeb"/>
        <w:ind w:left="480" w:hanging="480"/>
        <w:divId w:val="325864540"/>
        <w:rPr>
          <w:noProof/>
        </w:rPr>
      </w:pPr>
      <w:r w:rsidRPr="007B27F6">
        <w:rPr>
          <w:noProof/>
        </w:rPr>
        <w:t xml:space="preserve">Grueso, S. M. (2012). </w:t>
      </w:r>
      <w:r w:rsidRPr="007B27F6">
        <w:rPr>
          <w:i/>
          <w:iCs/>
          <w:noProof/>
        </w:rPr>
        <w:t>15M «Excelente. Revulsivo. Importante»</w:t>
      </w:r>
      <w:r w:rsidRPr="007B27F6">
        <w:rPr>
          <w:noProof/>
        </w:rPr>
        <w:t>. Spain. Retrieved from https://www.youtube.com/watch?v=Z5fsxKIMDNU</w:t>
      </w:r>
    </w:p>
    <w:p w:rsidR="007B27F6" w:rsidRPr="007B27F6" w:rsidRDefault="007B27F6">
      <w:pPr>
        <w:pStyle w:val="NormalWeb"/>
        <w:ind w:left="480" w:hanging="480"/>
        <w:divId w:val="325864540"/>
        <w:rPr>
          <w:noProof/>
        </w:rPr>
      </w:pPr>
      <w:r w:rsidRPr="007B27F6">
        <w:rPr>
          <w:noProof/>
        </w:rPr>
        <w:t xml:space="preserve">Hussain, M. M., &amp; Howard, P. N. (2013). What best explains successful protest cascades? ICTs and the fuzzy causes of the Arab Spring. </w:t>
      </w:r>
      <w:r w:rsidRPr="007B27F6">
        <w:rPr>
          <w:i/>
          <w:iCs/>
          <w:noProof/>
        </w:rPr>
        <w:t>International Studies Review</w:t>
      </w:r>
      <w:r w:rsidRPr="007B27F6">
        <w:rPr>
          <w:noProof/>
        </w:rPr>
        <w:t xml:space="preserve">, </w:t>
      </w:r>
      <w:r w:rsidRPr="007B27F6">
        <w:rPr>
          <w:i/>
          <w:iCs/>
          <w:noProof/>
        </w:rPr>
        <w:t>15</w:t>
      </w:r>
      <w:r w:rsidRPr="007B27F6">
        <w:rPr>
          <w:noProof/>
        </w:rPr>
        <w:t>(1), 48–66. http://doi.org/10.1111/misr.12020</w:t>
      </w:r>
    </w:p>
    <w:p w:rsidR="007B27F6" w:rsidRPr="007B27F6" w:rsidRDefault="007B27F6">
      <w:pPr>
        <w:pStyle w:val="NormalWeb"/>
        <w:ind w:left="480" w:hanging="480"/>
        <w:divId w:val="325864540"/>
        <w:rPr>
          <w:noProof/>
        </w:rPr>
      </w:pPr>
      <w:r w:rsidRPr="007B27F6">
        <w:rPr>
          <w:noProof/>
        </w:rPr>
        <w:t xml:space="preserve">Khmelko, I., &amp; Pereguda, Y. (2014). An Anatomy of Mass Protests: The Orange Revolution and Euromaydan Compared. </w:t>
      </w:r>
      <w:r w:rsidRPr="007B27F6">
        <w:rPr>
          <w:i/>
          <w:iCs/>
          <w:noProof/>
        </w:rPr>
        <w:t>Communist and Post-Communist Studies</w:t>
      </w:r>
      <w:r w:rsidRPr="007B27F6">
        <w:rPr>
          <w:noProof/>
        </w:rPr>
        <w:t xml:space="preserve">, </w:t>
      </w:r>
      <w:r w:rsidRPr="007B27F6">
        <w:rPr>
          <w:i/>
          <w:iCs/>
          <w:noProof/>
        </w:rPr>
        <w:t>47</w:t>
      </w:r>
      <w:r w:rsidRPr="007B27F6">
        <w:rPr>
          <w:noProof/>
        </w:rPr>
        <w:t>(2), 227–236. http://doi.org/10.1016/j.postcomstud.2014.04.013</w:t>
      </w:r>
    </w:p>
    <w:p w:rsidR="007B27F6" w:rsidRPr="007B27F6" w:rsidRDefault="007B27F6">
      <w:pPr>
        <w:pStyle w:val="NormalWeb"/>
        <w:ind w:left="480" w:hanging="480"/>
        <w:divId w:val="325864540"/>
        <w:rPr>
          <w:noProof/>
        </w:rPr>
      </w:pPr>
      <w:r w:rsidRPr="007B27F6">
        <w:rPr>
          <w:noProof/>
        </w:rPr>
        <w:t xml:space="preserve">MACASKILL, E., &amp; DANCE, G. (2013, November 1). NSA Files: Decoded. </w:t>
      </w:r>
      <w:r w:rsidRPr="007B27F6">
        <w:rPr>
          <w:i/>
          <w:iCs/>
          <w:noProof/>
        </w:rPr>
        <w:t>The Guardian</w:t>
      </w:r>
      <w:r w:rsidRPr="007B27F6">
        <w:rPr>
          <w:noProof/>
        </w:rPr>
        <w:t>. Retrieved from http://www.theguardian.com/world/interactive/2013/nov/01/snowden-nsa-files-surveillance-revelations-decoded#section/1</w:t>
      </w:r>
    </w:p>
    <w:p w:rsidR="007B27F6" w:rsidRPr="007B27F6" w:rsidRDefault="007B27F6">
      <w:pPr>
        <w:pStyle w:val="NormalWeb"/>
        <w:ind w:left="480" w:hanging="480"/>
        <w:divId w:val="325864540"/>
        <w:rPr>
          <w:noProof/>
        </w:rPr>
      </w:pPr>
      <w:r w:rsidRPr="007B27F6">
        <w:rPr>
          <w:noProof/>
        </w:rPr>
        <w:t>Mills, E. (2011). S.F. subway muzzles cell service during protest. Retrieved from http://www.cnet.com/news/s-f-subway-muzzles-cell-service-during-protest/</w:t>
      </w:r>
    </w:p>
    <w:p w:rsidR="007B27F6" w:rsidRPr="007B27F6" w:rsidRDefault="007B27F6">
      <w:pPr>
        <w:pStyle w:val="NormalWeb"/>
        <w:ind w:left="480" w:hanging="480"/>
        <w:divId w:val="325864540"/>
        <w:rPr>
          <w:noProof/>
        </w:rPr>
      </w:pPr>
      <w:r w:rsidRPr="007B27F6">
        <w:rPr>
          <w:noProof/>
        </w:rPr>
        <w:t xml:space="preserve">Monterde, A., &amp; Postill, J. (2013). Mobile Ensembles: The Uses of Mobile Phones for Social Protest by Spain’s Indignados. In G. Goggin &amp; L. Hjorth (Eds.), </w:t>
      </w:r>
      <w:r w:rsidRPr="007B27F6">
        <w:rPr>
          <w:i/>
          <w:iCs/>
          <w:noProof/>
        </w:rPr>
        <w:t>Routledge Companion to Mobile Media</w:t>
      </w:r>
      <w:r w:rsidRPr="007B27F6">
        <w:rPr>
          <w:noProof/>
        </w:rPr>
        <w:t xml:space="preserve"> (pp. 1–17).</w:t>
      </w:r>
    </w:p>
    <w:p w:rsidR="007B27F6" w:rsidRPr="007B27F6" w:rsidRDefault="007B27F6">
      <w:pPr>
        <w:pStyle w:val="NormalWeb"/>
        <w:ind w:left="480" w:hanging="480"/>
        <w:divId w:val="325864540"/>
        <w:rPr>
          <w:noProof/>
        </w:rPr>
      </w:pPr>
      <w:r w:rsidRPr="007B27F6">
        <w:rPr>
          <w:noProof/>
        </w:rPr>
        <w:t xml:space="preserve">Monti, M. (2010). A New Strategy for the Single Market. </w:t>
      </w:r>
      <w:r w:rsidRPr="007B27F6">
        <w:rPr>
          <w:i/>
          <w:iCs/>
          <w:noProof/>
        </w:rPr>
        <w:t>Initiatives</w:t>
      </w:r>
      <w:r w:rsidRPr="007B27F6">
        <w:rPr>
          <w:noProof/>
        </w:rPr>
        <w:t>, (May).</w:t>
      </w:r>
    </w:p>
    <w:p w:rsidR="007B27F6" w:rsidRPr="007B27F6" w:rsidRDefault="007B27F6">
      <w:pPr>
        <w:pStyle w:val="NormalWeb"/>
        <w:ind w:left="480" w:hanging="480"/>
        <w:divId w:val="325864540"/>
        <w:rPr>
          <w:noProof/>
        </w:rPr>
      </w:pPr>
      <w:r w:rsidRPr="007B27F6">
        <w:rPr>
          <w:noProof/>
        </w:rPr>
        <w:t xml:space="preserve">Morozov, E. (2011). The Net Delusion. </w:t>
      </w:r>
      <w:r w:rsidRPr="007B27F6">
        <w:rPr>
          <w:i/>
          <w:iCs/>
          <w:noProof/>
        </w:rPr>
        <w:t>New York</w:t>
      </w:r>
      <w:r w:rsidRPr="007B27F6">
        <w:rPr>
          <w:noProof/>
        </w:rPr>
        <w:t xml:space="preserve">, </w:t>
      </w:r>
      <w:r w:rsidRPr="007B27F6">
        <w:rPr>
          <w:i/>
          <w:iCs/>
          <w:noProof/>
        </w:rPr>
        <w:t>9</w:t>
      </w:r>
      <w:r w:rsidRPr="007B27F6">
        <w:rPr>
          <w:noProof/>
        </w:rPr>
        <w:t>(04), 432. Retrieved from http://www.amazon.com/Net-Delusion-Morozov/dp/1846143535</w:t>
      </w:r>
    </w:p>
    <w:p w:rsidR="007B27F6" w:rsidRPr="007B27F6" w:rsidRDefault="007B27F6">
      <w:pPr>
        <w:pStyle w:val="NormalWeb"/>
        <w:ind w:left="480" w:hanging="480"/>
        <w:divId w:val="325864540"/>
        <w:rPr>
          <w:noProof/>
        </w:rPr>
      </w:pPr>
      <w:r w:rsidRPr="007B27F6">
        <w:rPr>
          <w:noProof/>
        </w:rPr>
        <w:t>PIRANHA. (n.d.). Retrieved May 20, 2015, from http://www.rayzoneg.com/brochure_piranha.pdf</w:t>
      </w:r>
    </w:p>
    <w:p w:rsidR="007B27F6" w:rsidRPr="007B27F6" w:rsidRDefault="007B27F6">
      <w:pPr>
        <w:pStyle w:val="NormalWeb"/>
        <w:ind w:left="480" w:hanging="480"/>
        <w:divId w:val="325864540"/>
        <w:rPr>
          <w:noProof/>
        </w:rPr>
      </w:pPr>
      <w:r w:rsidRPr="007B27F6">
        <w:rPr>
          <w:noProof/>
        </w:rPr>
        <w:t>Rosen, J. (2012). THE RIGHT TO BE FORGOTTEN, 88–92.</w:t>
      </w:r>
    </w:p>
    <w:p w:rsidR="007B27F6" w:rsidRPr="007B27F6" w:rsidRDefault="007B27F6">
      <w:pPr>
        <w:pStyle w:val="NormalWeb"/>
        <w:ind w:left="480" w:hanging="480"/>
        <w:divId w:val="325864540"/>
        <w:rPr>
          <w:noProof/>
        </w:rPr>
      </w:pPr>
      <w:r w:rsidRPr="007B27F6">
        <w:rPr>
          <w:noProof/>
        </w:rPr>
        <w:t>Selex GUARDIAN. (n.d.). Retrieved May 20, 2015, from http://www.selex-es.com/documents/737448/20290936/body_Copy+of+mm07433_Guardian_IED_Suppression_LQ_.pdf</w:t>
      </w:r>
    </w:p>
    <w:p w:rsidR="007B27F6" w:rsidRPr="007B27F6" w:rsidRDefault="007B27F6">
      <w:pPr>
        <w:pStyle w:val="NormalWeb"/>
        <w:ind w:left="480" w:hanging="480"/>
        <w:divId w:val="325864540"/>
        <w:rPr>
          <w:noProof/>
        </w:rPr>
      </w:pPr>
      <w:r w:rsidRPr="007B27F6">
        <w:rPr>
          <w:noProof/>
        </w:rPr>
        <w:t xml:space="preserve">Siegel, D. a. (2011). Non-disruptive tactics of suppression are superior in countering terrorism, insurgency, and financial panics. </w:t>
      </w:r>
      <w:r w:rsidRPr="007B27F6">
        <w:rPr>
          <w:i/>
          <w:iCs/>
          <w:noProof/>
        </w:rPr>
        <w:t>PLoS ONE</w:t>
      </w:r>
      <w:r w:rsidRPr="007B27F6">
        <w:rPr>
          <w:noProof/>
        </w:rPr>
        <w:t xml:space="preserve">, </w:t>
      </w:r>
      <w:r w:rsidRPr="007B27F6">
        <w:rPr>
          <w:i/>
          <w:iCs/>
          <w:noProof/>
        </w:rPr>
        <w:t>6</w:t>
      </w:r>
      <w:r w:rsidRPr="007B27F6">
        <w:rPr>
          <w:noProof/>
        </w:rPr>
        <w:t>(4). http://doi.org/10.1371/journal.pone.0018545</w:t>
      </w:r>
    </w:p>
    <w:p w:rsidR="007B27F6" w:rsidRPr="007B27F6" w:rsidRDefault="007B27F6">
      <w:pPr>
        <w:pStyle w:val="NormalWeb"/>
        <w:ind w:left="480" w:hanging="480"/>
        <w:divId w:val="325864540"/>
        <w:rPr>
          <w:noProof/>
        </w:rPr>
      </w:pPr>
      <w:r w:rsidRPr="007B27F6">
        <w:rPr>
          <w:noProof/>
        </w:rPr>
        <w:t xml:space="preserve">Traynor, I. (2015). EU unveils plans to set up digital single market for online firms. </w:t>
      </w:r>
      <w:r w:rsidRPr="007B27F6">
        <w:rPr>
          <w:i/>
          <w:iCs/>
          <w:noProof/>
        </w:rPr>
        <w:t>The Guardian</w:t>
      </w:r>
      <w:r w:rsidRPr="007B27F6">
        <w:rPr>
          <w:noProof/>
        </w:rPr>
        <w:t>. Retrieved from http://www.theguardian.com/technology/2015/may/06/eu-unveils-plans-digital-single-market-online-firms</w:t>
      </w:r>
    </w:p>
    <w:p w:rsidR="007B27F6" w:rsidRPr="007B27F6" w:rsidRDefault="007B27F6">
      <w:pPr>
        <w:pStyle w:val="NormalWeb"/>
        <w:ind w:left="480" w:hanging="480"/>
        <w:divId w:val="325864540"/>
        <w:rPr>
          <w:noProof/>
        </w:rPr>
      </w:pPr>
      <w:r w:rsidRPr="007B27F6">
        <w:rPr>
          <w:noProof/>
        </w:rPr>
        <w:t xml:space="preserve">Van Laer, J., &amp; Van Aelst, P. (2010). Internet and Social Movement Action Repertoires. </w:t>
      </w:r>
      <w:r w:rsidRPr="007B27F6">
        <w:rPr>
          <w:i/>
          <w:iCs/>
          <w:noProof/>
        </w:rPr>
        <w:t>Information, Communication &amp; Society</w:t>
      </w:r>
      <w:r w:rsidRPr="007B27F6">
        <w:rPr>
          <w:noProof/>
        </w:rPr>
        <w:t xml:space="preserve">, </w:t>
      </w:r>
      <w:r w:rsidRPr="007B27F6">
        <w:rPr>
          <w:i/>
          <w:iCs/>
          <w:noProof/>
        </w:rPr>
        <w:t>13</w:t>
      </w:r>
      <w:r w:rsidRPr="007B27F6">
        <w:rPr>
          <w:noProof/>
        </w:rPr>
        <w:t>(8), 1146–1171. http://doi.org/10.1080/13691181003628307</w:t>
      </w:r>
    </w:p>
    <w:p w:rsidR="007B27F6" w:rsidRPr="007B27F6" w:rsidRDefault="007B27F6">
      <w:pPr>
        <w:pStyle w:val="NormalWeb"/>
        <w:ind w:left="480" w:hanging="480"/>
        <w:divId w:val="325864540"/>
        <w:rPr>
          <w:noProof/>
        </w:rPr>
      </w:pPr>
      <w:r w:rsidRPr="007B27F6">
        <w:rPr>
          <w:noProof/>
        </w:rPr>
        <w:t>Vehicular Jamming Solution. (2014). Retrieved May 20, 2015, from http://www.tangreat.com/en/solutions-default-3.html</w:t>
      </w:r>
    </w:p>
    <w:p w:rsidR="007B27F6" w:rsidRPr="007B27F6" w:rsidRDefault="007B27F6">
      <w:pPr>
        <w:pStyle w:val="NormalWeb"/>
        <w:ind w:left="480" w:hanging="480"/>
        <w:divId w:val="325864540"/>
        <w:rPr>
          <w:noProof/>
        </w:rPr>
      </w:pPr>
      <w:r w:rsidRPr="007B27F6">
        <w:rPr>
          <w:noProof/>
        </w:rPr>
        <w:t xml:space="preserve">Warf, B., &amp; Grimes, J. (1997). Counterhegemonic Discourses and the Internet. </w:t>
      </w:r>
      <w:r w:rsidRPr="007B27F6">
        <w:rPr>
          <w:i/>
          <w:iCs/>
          <w:noProof/>
        </w:rPr>
        <w:t>Geographical Review</w:t>
      </w:r>
      <w:r w:rsidRPr="007B27F6">
        <w:rPr>
          <w:noProof/>
        </w:rPr>
        <w:t xml:space="preserve">, </w:t>
      </w:r>
      <w:r w:rsidRPr="007B27F6">
        <w:rPr>
          <w:i/>
          <w:iCs/>
          <w:noProof/>
        </w:rPr>
        <w:t>87</w:t>
      </w:r>
      <w:r w:rsidRPr="007B27F6">
        <w:rPr>
          <w:noProof/>
        </w:rPr>
        <w:t>(2), 259–274. http://doi.org/10.2307/216008</w:t>
      </w:r>
    </w:p>
    <w:p w:rsidR="00B977CC" w:rsidRPr="00004A5E" w:rsidRDefault="007C356F" w:rsidP="00BE44F2">
      <w:pPr>
        <w:spacing w:line="480" w:lineRule="auto"/>
        <w:rPr>
          <w:rFonts w:ascii="Times New Roman" w:hAnsi="Times New Roman" w:cs="Times New Roman"/>
          <w:sz w:val="24"/>
          <w:szCs w:val="24"/>
        </w:rPr>
      </w:pPr>
      <w:r>
        <w:rPr>
          <w:rFonts w:ascii="Times New Roman" w:hAnsi="Times New Roman" w:cs="Times New Roman"/>
          <w:sz w:val="24"/>
          <w:szCs w:val="24"/>
        </w:rPr>
        <w:fldChar w:fldCharType="end"/>
      </w:r>
    </w:p>
    <w:sectPr w:rsidR="00B977CC" w:rsidRPr="00004A5E" w:rsidSect="00830060">
      <w:headerReference w:type="default" r:id="rId8"/>
      <w:footerReference w:type="default" r:id="rId9"/>
      <w:pgSz w:w="12240" w:h="15840"/>
      <w:pgMar w:top="1440" w:right="1440" w:bottom="1440" w:left="1440" w:gutter="0"/>
      <w:titlePg/>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E505EB" w:rsidRDefault="00E505EB" w:rsidP="003814D7">
      <w:pPr>
        <w:spacing w:after="0" w:line="240" w:lineRule="auto"/>
      </w:pPr>
      <w:r>
        <w:separator/>
      </w:r>
    </w:p>
  </w:endnote>
  <w:endnote w:type="continuationSeparator" w:id="1">
    <w:p w:rsidR="00E505EB" w:rsidRDefault="00E505EB" w:rsidP="003814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libri Light">
    <w:charset w:val="00"/>
    <w:family w:val="swiss"/>
    <w:pitch w:val="variable"/>
    <w:sig w:usb0="A00002EF" w:usb1="4000207B" w:usb2="00000000" w:usb3="00000000" w:csb0="0000019F" w:csb1="00000000"/>
  </w:font>
  <w:font w:name="Georgia">
    <w:panose1 w:val="02040502050405020303"/>
    <w:charset w:val="00"/>
    <w:family w:val="auto"/>
    <w:pitch w:val="variable"/>
    <w:sig w:usb0="00000003" w:usb1="00000000" w:usb2="00000000" w:usb3="00000000" w:csb0="00000001" w:csb1="00000000"/>
  </w:font>
  <w:font w:name="Menlo Regular">
    <w:panose1 w:val="020B0609030804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sdt>
    <w:sdtPr>
      <w:rPr>
        <w:rFonts w:ascii="Times New Roman" w:hAnsi="Times New Roman" w:cs="Times New Roman"/>
      </w:rPr>
      <w:id w:val="-1536964785"/>
      <w:docPartObj>
        <w:docPartGallery w:val="Page Numbers (Bottom of Page)"/>
        <w:docPartUnique/>
      </w:docPartObj>
    </w:sdtPr>
    <w:sdtContent>
      <w:sdt>
        <w:sdtPr>
          <w:rPr>
            <w:rFonts w:ascii="Times New Roman" w:hAnsi="Times New Roman" w:cs="Times New Roman"/>
          </w:rPr>
          <w:id w:val="-1769616900"/>
          <w:docPartObj>
            <w:docPartGallery w:val="Page Numbers (Top of Page)"/>
            <w:docPartUnique/>
          </w:docPartObj>
        </w:sdtPr>
        <w:sdtContent>
          <w:p w:rsidR="005106C8" w:rsidRPr="005106C8" w:rsidRDefault="005106C8">
            <w:pPr>
              <w:pStyle w:val="Footer"/>
              <w:jc w:val="right"/>
              <w:rPr>
                <w:rFonts w:ascii="Times New Roman" w:hAnsi="Times New Roman" w:cs="Times New Roman"/>
              </w:rPr>
            </w:pPr>
            <w:r w:rsidRPr="005106C8">
              <w:rPr>
                <w:rFonts w:ascii="Times New Roman" w:hAnsi="Times New Roman" w:cs="Times New Roman"/>
              </w:rPr>
              <w:t xml:space="preserve">Page </w:t>
            </w:r>
            <w:r w:rsidR="007C356F" w:rsidRPr="005106C8">
              <w:rPr>
                <w:rFonts w:ascii="Times New Roman" w:hAnsi="Times New Roman" w:cs="Times New Roman"/>
                <w:b/>
                <w:bCs/>
                <w:sz w:val="24"/>
                <w:szCs w:val="24"/>
              </w:rPr>
              <w:fldChar w:fldCharType="begin"/>
            </w:r>
            <w:r w:rsidRPr="005106C8">
              <w:rPr>
                <w:rFonts w:ascii="Times New Roman" w:hAnsi="Times New Roman" w:cs="Times New Roman"/>
                <w:b/>
                <w:bCs/>
              </w:rPr>
              <w:instrText xml:space="preserve"> PAGE </w:instrText>
            </w:r>
            <w:r w:rsidR="007C356F" w:rsidRPr="005106C8">
              <w:rPr>
                <w:rFonts w:ascii="Times New Roman" w:hAnsi="Times New Roman" w:cs="Times New Roman"/>
                <w:b/>
                <w:bCs/>
                <w:sz w:val="24"/>
                <w:szCs w:val="24"/>
              </w:rPr>
              <w:fldChar w:fldCharType="separate"/>
            </w:r>
            <w:r w:rsidR="00355750">
              <w:rPr>
                <w:rFonts w:ascii="Times New Roman" w:hAnsi="Times New Roman" w:cs="Times New Roman"/>
                <w:b/>
                <w:bCs/>
                <w:noProof/>
              </w:rPr>
              <w:t>12</w:t>
            </w:r>
            <w:r w:rsidR="007C356F" w:rsidRPr="005106C8">
              <w:rPr>
                <w:rFonts w:ascii="Times New Roman" w:hAnsi="Times New Roman" w:cs="Times New Roman"/>
                <w:b/>
                <w:bCs/>
                <w:sz w:val="24"/>
                <w:szCs w:val="24"/>
              </w:rPr>
              <w:fldChar w:fldCharType="end"/>
            </w:r>
            <w:r w:rsidRPr="005106C8">
              <w:rPr>
                <w:rFonts w:ascii="Times New Roman" w:hAnsi="Times New Roman" w:cs="Times New Roman"/>
              </w:rPr>
              <w:t xml:space="preserve"> of </w:t>
            </w:r>
            <w:r w:rsidR="007C356F" w:rsidRPr="005106C8">
              <w:rPr>
                <w:rFonts w:ascii="Times New Roman" w:hAnsi="Times New Roman" w:cs="Times New Roman"/>
                <w:b/>
                <w:bCs/>
                <w:sz w:val="24"/>
                <w:szCs w:val="24"/>
              </w:rPr>
              <w:fldChar w:fldCharType="begin"/>
            </w:r>
            <w:r w:rsidRPr="005106C8">
              <w:rPr>
                <w:rFonts w:ascii="Times New Roman" w:hAnsi="Times New Roman" w:cs="Times New Roman"/>
                <w:b/>
                <w:bCs/>
              </w:rPr>
              <w:instrText xml:space="preserve"> NUMPAGES  </w:instrText>
            </w:r>
            <w:r w:rsidR="007C356F" w:rsidRPr="005106C8">
              <w:rPr>
                <w:rFonts w:ascii="Times New Roman" w:hAnsi="Times New Roman" w:cs="Times New Roman"/>
                <w:b/>
                <w:bCs/>
                <w:sz w:val="24"/>
                <w:szCs w:val="24"/>
              </w:rPr>
              <w:fldChar w:fldCharType="separate"/>
            </w:r>
            <w:r w:rsidR="00355750">
              <w:rPr>
                <w:rFonts w:ascii="Times New Roman" w:hAnsi="Times New Roman" w:cs="Times New Roman"/>
                <w:b/>
                <w:bCs/>
                <w:noProof/>
              </w:rPr>
              <w:t>12</w:t>
            </w:r>
            <w:r w:rsidR="007C356F" w:rsidRPr="005106C8">
              <w:rPr>
                <w:rFonts w:ascii="Times New Roman" w:hAnsi="Times New Roman" w:cs="Times New Roman"/>
                <w:b/>
                <w:bCs/>
                <w:sz w:val="24"/>
                <w:szCs w:val="24"/>
              </w:rPr>
              <w:fldChar w:fldCharType="end"/>
            </w:r>
          </w:p>
        </w:sdtContent>
      </w:sdt>
    </w:sdtContent>
  </w:sdt>
  <w:p w:rsidR="00B34DAD" w:rsidRPr="005106C8" w:rsidRDefault="00B34DAD" w:rsidP="005106C8">
    <w:pPr>
      <w:pStyle w:val="Footer"/>
      <w:rPr>
        <w:rFonts w:ascii="Times New Roman" w:hAnsi="Times New Roman" w:cs="Times New Roman"/>
        <w:sz w:val="24"/>
        <w:szCs w:val="24"/>
      </w:rP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E505EB" w:rsidRDefault="00E505EB" w:rsidP="003814D7">
      <w:pPr>
        <w:spacing w:after="0" w:line="240" w:lineRule="auto"/>
      </w:pPr>
      <w:r>
        <w:separator/>
      </w:r>
    </w:p>
  </w:footnote>
  <w:footnote w:type="continuationSeparator" w:id="1">
    <w:p w:rsidR="00E505EB" w:rsidRDefault="00E505EB" w:rsidP="003814D7">
      <w:pPr>
        <w:spacing w:after="0" w:line="240" w:lineRule="auto"/>
      </w:pPr>
      <w:r>
        <w:continuationSeparator/>
      </w:r>
    </w:p>
  </w:footnote>
  <w:footnote w:id="2">
    <w:p w:rsidR="0099624A" w:rsidRDefault="0099624A" w:rsidP="0099624A">
      <w:pPr>
        <w:pStyle w:val="FootnoteText"/>
      </w:pPr>
      <w:r>
        <w:rPr>
          <w:rStyle w:val="FootnoteReference"/>
        </w:rPr>
        <w:footnoteRef/>
      </w:r>
      <w:r>
        <w:t xml:space="preserve"> Ema</w:t>
      </w:r>
      <w:r w:rsidR="003A2190">
        <w:t xml:space="preserve">il correspondence with </w:t>
      </w:r>
      <w:r w:rsidR="00DB5BD6">
        <w:t>D. Siegel, author of</w:t>
      </w:r>
      <w:r>
        <w:t xml:space="preserve">: </w:t>
      </w:r>
      <w:r w:rsidR="007C356F">
        <w:fldChar w:fldCharType="begin" w:fldLock="1"/>
      </w:r>
      <w:r w:rsidR="007B27F6">
        <w:instrText>ADDIN CSL_CITATION { "citationItems" : [ { "id" : "ITEM-1", "itemData" : { "DOI" : "10.1371/journal.pone.0018545", "ISSN" : "19326203", "PMID" : "21533247", "abstract" : "Suppressing damaging aggregate behaviors such as insurgency, terrorism, and financial panics are important tasks of the state. Each outcome of these aggregate behaviors is an emergent property of a system in which each individual's action depends on a subset of others' actions, given by each individual's network of interactions. Yet there are few explicit comparisons of strategies for suppression, and none that fully incorporate the interdependence of individual behavior.", "author" : [ { "dropping-particle" : "", "family" : "Siegel", "given" : "David a.", "non-dropping-particle" : "", "parse-names" : false, "suffix" : "" } ], "container-title" : "PLoS ONE", "id" : "ITEM-1", "issue" : "4", "issued" : { "date-parts" : [ [ "2011" ] ] }, "note" : "the state's guide to how to control people", "title" : "Non-disruptive tactics of suppression are superior in countering terrorism, insurgency, and financial panics", "type" : "article-journal", "volume" : "6" }, "uris" : [ "http://www.mendeley.com/documents/?uuid=3a201a5a-a929-4ced-89f0-d07f3621bd13" ] } ], "mendeley" : { "formattedCitation" : "(Siegel, 2011)", "plainTextFormattedCitation" : "(Siegel, 2011)", "previouslyFormattedCitation" : "(Siegel, 2011)" }, "properties" : { "noteIndex" : 0 }, "schema" : "https://github.com/citation-style-language/schema/raw/master/csl-citation.json" }</w:instrText>
      </w:r>
      <w:r w:rsidR="007C356F">
        <w:fldChar w:fldCharType="separate"/>
      </w:r>
      <w:r w:rsidR="00DB5BD6" w:rsidRPr="00DB5BD6">
        <w:rPr>
          <w:noProof/>
        </w:rPr>
        <w:t>(Siegel, 2011)</w:t>
      </w:r>
      <w:r w:rsidR="007C356F">
        <w:fldChar w:fldCharType="end"/>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830060" w:rsidRPr="00830060" w:rsidRDefault="00830060" w:rsidP="00830060">
    <w:pPr>
      <w:pStyle w:val="Header"/>
      <w:rPr>
        <w:rFonts w:ascii="Times New Roman" w:hAnsi="Times New Roman" w:cs="Times New Roman"/>
        <w:sz w:val="24"/>
      </w:rPr>
    </w:pPr>
    <w:r w:rsidRPr="00830060">
      <w:rPr>
        <w:rFonts w:ascii="Times New Roman" w:hAnsi="Times New Roman" w:cs="Times New Roman"/>
        <w:sz w:val="24"/>
      </w:rPr>
      <w:t>A Tenuous Balance: The Evolving Role of the Internet in Facilitating Dissent</w:t>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B6142FC"/>
    <w:multiLevelType w:val="hybridMultilevel"/>
    <w:tmpl w:val="825EB020"/>
    <w:lvl w:ilvl="0" w:tplc="A6884DEA">
      <w:numFmt w:val="bullet"/>
      <w:lvlText w:val="-"/>
      <w:lvlJc w:val="left"/>
      <w:pPr>
        <w:ind w:left="413" w:hanging="360"/>
      </w:pPr>
      <w:rPr>
        <w:rFonts w:ascii="Times New Roman" w:eastAsiaTheme="minorHAnsi" w:hAnsi="Times New Roman" w:cs="Times New Roman" w:hint="default"/>
      </w:rPr>
    </w:lvl>
    <w:lvl w:ilvl="1" w:tplc="04090003" w:tentative="1">
      <w:start w:val="1"/>
      <w:numFmt w:val="bullet"/>
      <w:lvlText w:val="o"/>
      <w:lvlJc w:val="left"/>
      <w:pPr>
        <w:ind w:left="1133" w:hanging="360"/>
      </w:pPr>
      <w:rPr>
        <w:rFonts w:ascii="Courier New" w:hAnsi="Courier New" w:cs="Courier New" w:hint="default"/>
      </w:rPr>
    </w:lvl>
    <w:lvl w:ilvl="2" w:tplc="04090005" w:tentative="1">
      <w:start w:val="1"/>
      <w:numFmt w:val="bullet"/>
      <w:lvlText w:val=""/>
      <w:lvlJc w:val="left"/>
      <w:pPr>
        <w:ind w:left="1853" w:hanging="360"/>
      </w:pPr>
      <w:rPr>
        <w:rFonts w:ascii="Wingdings" w:hAnsi="Wingdings" w:hint="default"/>
      </w:rPr>
    </w:lvl>
    <w:lvl w:ilvl="3" w:tplc="04090001" w:tentative="1">
      <w:start w:val="1"/>
      <w:numFmt w:val="bullet"/>
      <w:lvlText w:val=""/>
      <w:lvlJc w:val="left"/>
      <w:pPr>
        <w:ind w:left="2573" w:hanging="360"/>
      </w:pPr>
      <w:rPr>
        <w:rFonts w:ascii="Symbol" w:hAnsi="Symbol" w:hint="default"/>
      </w:rPr>
    </w:lvl>
    <w:lvl w:ilvl="4" w:tplc="04090003" w:tentative="1">
      <w:start w:val="1"/>
      <w:numFmt w:val="bullet"/>
      <w:lvlText w:val="o"/>
      <w:lvlJc w:val="left"/>
      <w:pPr>
        <w:ind w:left="3293" w:hanging="360"/>
      </w:pPr>
      <w:rPr>
        <w:rFonts w:ascii="Courier New" w:hAnsi="Courier New" w:cs="Courier New" w:hint="default"/>
      </w:rPr>
    </w:lvl>
    <w:lvl w:ilvl="5" w:tplc="04090005" w:tentative="1">
      <w:start w:val="1"/>
      <w:numFmt w:val="bullet"/>
      <w:lvlText w:val=""/>
      <w:lvlJc w:val="left"/>
      <w:pPr>
        <w:ind w:left="4013" w:hanging="360"/>
      </w:pPr>
      <w:rPr>
        <w:rFonts w:ascii="Wingdings" w:hAnsi="Wingdings" w:hint="default"/>
      </w:rPr>
    </w:lvl>
    <w:lvl w:ilvl="6" w:tplc="04090001" w:tentative="1">
      <w:start w:val="1"/>
      <w:numFmt w:val="bullet"/>
      <w:lvlText w:val=""/>
      <w:lvlJc w:val="left"/>
      <w:pPr>
        <w:ind w:left="4733" w:hanging="360"/>
      </w:pPr>
      <w:rPr>
        <w:rFonts w:ascii="Symbol" w:hAnsi="Symbol" w:hint="default"/>
      </w:rPr>
    </w:lvl>
    <w:lvl w:ilvl="7" w:tplc="04090003" w:tentative="1">
      <w:start w:val="1"/>
      <w:numFmt w:val="bullet"/>
      <w:lvlText w:val="o"/>
      <w:lvlJc w:val="left"/>
      <w:pPr>
        <w:ind w:left="5453" w:hanging="360"/>
      </w:pPr>
      <w:rPr>
        <w:rFonts w:ascii="Courier New" w:hAnsi="Courier New" w:cs="Courier New" w:hint="default"/>
      </w:rPr>
    </w:lvl>
    <w:lvl w:ilvl="8" w:tplc="04090005" w:tentative="1">
      <w:start w:val="1"/>
      <w:numFmt w:val="bullet"/>
      <w:lvlText w:val=""/>
      <w:lvlJc w:val="left"/>
      <w:pPr>
        <w:ind w:left="6173" w:hanging="360"/>
      </w:pPr>
      <w:rPr>
        <w:rFonts w:ascii="Wingdings" w:hAnsi="Wingdings" w:hint="default"/>
      </w:rPr>
    </w:lvl>
  </w:abstractNum>
  <w:abstractNum w:abstractNumId="1">
    <w:nsid w:val="0E127793"/>
    <w:multiLevelType w:val="hybridMultilevel"/>
    <w:tmpl w:val="B8482D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C531F5"/>
    <w:multiLevelType w:val="hybridMultilevel"/>
    <w:tmpl w:val="5CCC5A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6D2911"/>
    <w:multiLevelType w:val="hybridMultilevel"/>
    <w:tmpl w:val="5F42F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351C41"/>
    <w:multiLevelType w:val="hybridMultilevel"/>
    <w:tmpl w:val="688AC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D75FA5"/>
    <w:multiLevelType w:val="hybridMultilevel"/>
    <w:tmpl w:val="09925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6">
    <w:nsid w:val="3C2B7124"/>
    <w:multiLevelType w:val="hybridMultilevel"/>
    <w:tmpl w:val="A6D0E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AC4B5A"/>
    <w:multiLevelType w:val="hybridMultilevel"/>
    <w:tmpl w:val="E558FC14"/>
    <w:lvl w:ilvl="0" w:tplc="E27E9E5E">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nsid w:val="427D7E41"/>
    <w:multiLevelType w:val="hybridMultilevel"/>
    <w:tmpl w:val="B2562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DA67AD"/>
    <w:multiLevelType w:val="hybridMultilevel"/>
    <w:tmpl w:val="5A6A26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D52FF3"/>
    <w:multiLevelType w:val="hybridMultilevel"/>
    <w:tmpl w:val="993AB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8F7197"/>
    <w:multiLevelType w:val="hybridMultilevel"/>
    <w:tmpl w:val="2AEE4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0B672C3"/>
    <w:multiLevelType w:val="hybridMultilevel"/>
    <w:tmpl w:val="CB04E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1AC286C"/>
    <w:multiLevelType w:val="hybridMultilevel"/>
    <w:tmpl w:val="C5D2A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5DD61A4"/>
    <w:multiLevelType w:val="hybridMultilevel"/>
    <w:tmpl w:val="210C24E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nsid w:val="79D408C6"/>
    <w:multiLevelType w:val="hybridMultilevel"/>
    <w:tmpl w:val="C3DA0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B941EE9"/>
    <w:multiLevelType w:val="hybridMultilevel"/>
    <w:tmpl w:val="EFF423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6"/>
  </w:num>
  <w:num w:numId="4">
    <w:abstractNumId w:val="1"/>
  </w:num>
  <w:num w:numId="5">
    <w:abstractNumId w:val="16"/>
  </w:num>
  <w:num w:numId="6">
    <w:abstractNumId w:val="3"/>
  </w:num>
  <w:num w:numId="7">
    <w:abstractNumId w:val="10"/>
  </w:num>
  <w:num w:numId="8">
    <w:abstractNumId w:val="9"/>
  </w:num>
  <w:num w:numId="9">
    <w:abstractNumId w:val="12"/>
  </w:num>
  <w:num w:numId="10">
    <w:abstractNumId w:val="2"/>
  </w:num>
  <w:num w:numId="11">
    <w:abstractNumId w:val="4"/>
  </w:num>
  <w:num w:numId="12">
    <w:abstractNumId w:val="11"/>
  </w:num>
  <w:num w:numId="13">
    <w:abstractNumId w:val="15"/>
  </w:num>
  <w:num w:numId="14">
    <w:abstractNumId w:val="7"/>
  </w:num>
  <w:num w:numId="15">
    <w:abstractNumId w:val="5"/>
  </w:num>
  <w:num w:numId="16">
    <w:abstractNumId w:val="13"/>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footnotePr>
    <w:footnote w:id="0"/>
    <w:footnote w:id="1"/>
  </w:footnotePr>
  <w:endnotePr>
    <w:endnote w:id="0"/>
    <w:endnote w:id="1"/>
  </w:endnotePr>
  <w:compat>
    <w:applyBreakingRules/>
  </w:compat>
  <w:rsids>
    <w:rsidRoot w:val="009B6705"/>
    <w:rsid w:val="00004A5E"/>
    <w:rsid w:val="000105AC"/>
    <w:rsid w:val="00014976"/>
    <w:rsid w:val="000218C0"/>
    <w:rsid w:val="00031779"/>
    <w:rsid w:val="00035A18"/>
    <w:rsid w:val="00050946"/>
    <w:rsid w:val="0005622E"/>
    <w:rsid w:val="00057456"/>
    <w:rsid w:val="0006371A"/>
    <w:rsid w:val="000649BE"/>
    <w:rsid w:val="000664A6"/>
    <w:rsid w:val="0007272C"/>
    <w:rsid w:val="00074447"/>
    <w:rsid w:val="000829C8"/>
    <w:rsid w:val="00083EB4"/>
    <w:rsid w:val="00086B9D"/>
    <w:rsid w:val="00087E62"/>
    <w:rsid w:val="00092100"/>
    <w:rsid w:val="00095EFB"/>
    <w:rsid w:val="000A1A27"/>
    <w:rsid w:val="000B13E2"/>
    <w:rsid w:val="000B260C"/>
    <w:rsid w:val="000C051B"/>
    <w:rsid w:val="000D0E3B"/>
    <w:rsid w:val="000D6DF4"/>
    <w:rsid w:val="000D6E7C"/>
    <w:rsid w:val="000E6A20"/>
    <w:rsid w:val="000F3B52"/>
    <w:rsid w:val="00103B67"/>
    <w:rsid w:val="00105548"/>
    <w:rsid w:val="00110426"/>
    <w:rsid w:val="00115A8E"/>
    <w:rsid w:val="00123FCD"/>
    <w:rsid w:val="00132CCA"/>
    <w:rsid w:val="0014060D"/>
    <w:rsid w:val="00142832"/>
    <w:rsid w:val="00145E2A"/>
    <w:rsid w:val="00152FC5"/>
    <w:rsid w:val="0015595D"/>
    <w:rsid w:val="00164D4E"/>
    <w:rsid w:val="00166D14"/>
    <w:rsid w:val="00170ED2"/>
    <w:rsid w:val="00174C13"/>
    <w:rsid w:val="001750F8"/>
    <w:rsid w:val="00175C2A"/>
    <w:rsid w:val="001767FB"/>
    <w:rsid w:val="00187980"/>
    <w:rsid w:val="00187B6A"/>
    <w:rsid w:val="001A4B99"/>
    <w:rsid w:val="001A4CFD"/>
    <w:rsid w:val="001C0A8A"/>
    <w:rsid w:val="001C3913"/>
    <w:rsid w:val="001D32DA"/>
    <w:rsid w:val="001D5692"/>
    <w:rsid w:val="001D5779"/>
    <w:rsid w:val="001E6D9C"/>
    <w:rsid w:val="0020031E"/>
    <w:rsid w:val="002056C1"/>
    <w:rsid w:val="002153E8"/>
    <w:rsid w:val="00230ECC"/>
    <w:rsid w:val="00233C17"/>
    <w:rsid w:val="002433C1"/>
    <w:rsid w:val="00243465"/>
    <w:rsid w:val="00245314"/>
    <w:rsid w:val="002529FC"/>
    <w:rsid w:val="00265132"/>
    <w:rsid w:val="00281D20"/>
    <w:rsid w:val="0029262A"/>
    <w:rsid w:val="002A4404"/>
    <w:rsid w:val="002B4D04"/>
    <w:rsid w:val="002B62D5"/>
    <w:rsid w:val="002C43C6"/>
    <w:rsid w:val="002C79C0"/>
    <w:rsid w:val="002C7CD0"/>
    <w:rsid w:val="002D0DC7"/>
    <w:rsid w:val="002D19CA"/>
    <w:rsid w:val="002D3A65"/>
    <w:rsid w:val="002E4260"/>
    <w:rsid w:val="002E5640"/>
    <w:rsid w:val="002F365A"/>
    <w:rsid w:val="002F38CB"/>
    <w:rsid w:val="002F620C"/>
    <w:rsid w:val="00301F70"/>
    <w:rsid w:val="0031588A"/>
    <w:rsid w:val="00317DA2"/>
    <w:rsid w:val="00326C48"/>
    <w:rsid w:val="003357D7"/>
    <w:rsid w:val="003370D6"/>
    <w:rsid w:val="00351A6D"/>
    <w:rsid w:val="00354E58"/>
    <w:rsid w:val="00355750"/>
    <w:rsid w:val="003612A2"/>
    <w:rsid w:val="0037074A"/>
    <w:rsid w:val="003720D3"/>
    <w:rsid w:val="003748E8"/>
    <w:rsid w:val="00377908"/>
    <w:rsid w:val="00377A2D"/>
    <w:rsid w:val="003814D7"/>
    <w:rsid w:val="00392B44"/>
    <w:rsid w:val="003973FC"/>
    <w:rsid w:val="003A2190"/>
    <w:rsid w:val="003A7D9D"/>
    <w:rsid w:val="003C58B3"/>
    <w:rsid w:val="003C5BA8"/>
    <w:rsid w:val="003D22CE"/>
    <w:rsid w:val="003D2377"/>
    <w:rsid w:val="003E148A"/>
    <w:rsid w:val="003E4865"/>
    <w:rsid w:val="003E50EB"/>
    <w:rsid w:val="003E7021"/>
    <w:rsid w:val="003F0B3E"/>
    <w:rsid w:val="00400482"/>
    <w:rsid w:val="00400779"/>
    <w:rsid w:val="00411764"/>
    <w:rsid w:val="00425A05"/>
    <w:rsid w:val="00427E4D"/>
    <w:rsid w:val="00431C69"/>
    <w:rsid w:val="00442CD6"/>
    <w:rsid w:val="004430C9"/>
    <w:rsid w:val="00443756"/>
    <w:rsid w:val="004449C9"/>
    <w:rsid w:val="004508C3"/>
    <w:rsid w:val="004516CA"/>
    <w:rsid w:val="00454AA0"/>
    <w:rsid w:val="00454C39"/>
    <w:rsid w:val="004572E0"/>
    <w:rsid w:val="0046020B"/>
    <w:rsid w:val="004815E1"/>
    <w:rsid w:val="0049201D"/>
    <w:rsid w:val="00492D82"/>
    <w:rsid w:val="00494A31"/>
    <w:rsid w:val="00497E84"/>
    <w:rsid w:val="004A0744"/>
    <w:rsid w:val="004A684E"/>
    <w:rsid w:val="004A7C41"/>
    <w:rsid w:val="004B1646"/>
    <w:rsid w:val="004C26F8"/>
    <w:rsid w:val="004C6B05"/>
    <w:rsid w:val="004C6B71"/>
    <w:rsid w:val="004C7F5E"/>
    <w:rsid w:val="004D43DC"/>
    <w:rsid w:val="004D733A"/>
    <w:rsid w:val="004F5537"/>
    <w:rsid w:val="004F6B26"/>
    <w:rsid w:val="00500388"/>
    <w:rsid w:val="00507562"/>
    <w:rsid w:val="005101A8"/>
    <w:rsid w:val="005106C8"/>
    <w:rsid w:val="00511832"/>
    <w:rsid w:val="00514996"/>
    <w:rsid w:val="00516A71"/>
    <w:rsid w:val="00526A97"/>
    <w:rsid w:val="005346CA"/>
    <w:rsid w:val="005420E4"/>
    <w:rsid w:val="00542CE4"/>
    <w:rsid w:val="005440AB"/>
    <w:rsid w:val="0054563E"/>
    <w:rsid w:val="00550B38"/>
    <w:rsid w:val="00554836"/>
    <w:rsid w:val="005647FE"/>
    <w:rsid w:val="005676C2"/>
    <w:rsid w:val="005747AC"/>
    <w:rsid w:val="00576F79"/>
    <w:rsid w:val="00583425"/>
    <w:rsid w:val="00592664"/>
    <w:rsid w:val="00594AAF"/>
    <w:rsid w:val="005969EC"/>
    <w:rsid w:val="005A2B86"/>
    <w:rsid w:val="005A31C8"/>
    <w:rsid w:val="005B3621"/>
    <w:rsid w:val="005C03CA"/>
    <w:rsid w:val="005D02ED"/>
    <w:rsid w:val="005E136A"/>
    <w:rsid w:val="005E2351"/>
    <w:rsid w:val="005F4AE7"/>
    <w:rsid w:val="005F71A6"/>
    <w:rsid w:val="00601357"/>
    <w:rsid w:val="006056E0"/>
    <w:rsid w:val="00612690"/>
    <w:rsid w:val="00614A9D"/>
    <w:rsid w:val="00617450"/>
    <w:rsid w:val="00620335"/>
    <w:rsid w:val="00641D3F"/>
    <w:rsid w:val="00643156"/>
    <w:rsid w:val="00645F11"/>
    <w:rsid w:val="00655911"/>
    <w:rsid w:val="0066445E"/>
    <w:rsid w:val="00670C1B"/>
    <w:rsid w:val="00674862"/>
    <w:rsid w:val="00675E4B"/>
    <w:rsid w:val="0069320F"/>
    <w:rsid w:val="0069529F"/>
    <w:rsid w:val="006A5126"/>
    <w:rsid w:val="006B0817"/>
    <w:rsid w:val="006B2726"/>
    <w:rsid w:val="006B28ED"/>
    <w:rsid w:val="006B364E"/>
    <w:rsid w:val="006F215F"/>
    <w:rsid w:val="006F7F6A"/>
    <w:rsid w:val="00702829"/>
    <w:rsid w:val="00706170"/>
    <w:rsid w:val="00713690"/>
    <w:rsid w:val="00714B63"/>
    <w:rsid w:val="007176A2"/>
    <w:rsid w:val="00735D7B"/>
    <w:rsid w:val="00740E52"/>
    <w:rsid w:val="007474A8"/>
    <w:rsid w:val="007475D6"/>
    <w:rsid w:val="00750785"/>
    <w:rsid w:val="00753B66"/>
    <w:rsid w:val="0076089E"/>
    <w:rsid w:val="00770944"/>
    <w:rsid w:val="007775A8"/>
    <w:rsid w:val="007779B4"/>
    <w:rsid w:val="0078373E"/>
    <w:rsid w:val="0079663E"/>
    <w:rsid w:val="007A0F97"/>
    <w:rsid w:val="007A6B41"/>
    <w:rsid w:val="007B27F6"/>
    <w:rsid w:val="007B5272"/>
    <w:rsid w:val="007C1B37"/>
    <w:rsid w:val="007C356F"/>
    <w:rsid w:val="007D2B29"/>
    <w:rsid w:val="007D5109"/>
    <w:rsid w:val="007E31A7"/>
    <w:rsid w:val="007F71FE"/>
    <w:rsid w:val="00822699"/>
    <w:rsid w:val="00826283"/>
    <w:rsid w:val="00830060"/>
    <w:rsid w:val="00830B7A"/>
    <w:rsid w:val="008310BE"/>
    <w:rsid w:val="008323C1"/>
    <w:rsid w:val="00835072"/>
    <w:rsid w:val="0084344C"/>
    <w:rsid w:val="008434D5"/>
    <w:rsid w:val="00843E0B"/>
    <w:rsid w:val="00855B4D"/>
    <w:rsid w:val="00855F8C"/>
    <w:rsid w:val="008615DC"/>
    <w:rsid w:val="00867249"/>
    <w:rsid w:val="00870C3E"/>
    <w:rsid w:val="00883337"/>
    <w:rsid w:val="008848E1"/>
    <w:rsid w:val="00894CEA"/>
    <w:rsid w:val="008A557E"/>
    <w:rsid w:val="008A78BC"/>
    <w:rsid w:val="008C7C5A"/>
    <w:rsid w:val="008D1EFF"/>
    <w:rsid w:val="008D214F"/>
    <w:rsid w:val="008D2274"/>
    <w:rsid w:val="008E2317"/>
    <w:rsid w:val="008E7DFB"/>
    <w:rsid w:val="008F4CE7"/>
    <w:rsid w:val="008F764B"/>
    <w:rsid w:val="009067AC"/>
    <w:rsid w:val="00916685"/>
    <w:rsid w:val="009236D7"/>
    <w:rsid w:val="00927A13"/>
    <w:rsid w:val="00933438"/>
    <w:rsid w:val="00935F61"/>
    <w:rsid w:val="0094701A"/>
    <w:rsid w:val="00950B72"/>
    <w:rsid w:val="00960A17"/>
    <w:rsid w:val="00962307"/>
    <w:rsid w:val="009637D7"/>
    <w:rsid w:val="00964D3B"/>
    <w:rsid w:val="00974E6F"/>
    <w:rsid w:val="00981D28"/>
    <w:rsid w:val="00986BFE"/>
    <w:rsid w:val="0099624A"/>
    <w:rsid w:val="00996B9A"/>
    <w:rsid w:val="009A16B3"/>
    <w:rsid w:val="009A33F3"/>
    <w:rsid w:val="009B6705"/>
    <w:rsid w:val="009C0A26"/>
    <w:rsid w:val="009C1784"/>
    <w:rsid w:val="009D308F"/>
    <w:rsid w:val="009D4292"/>
    <w:rsid w:val="009D6BF3"/>
    <w:rsid w:val="009F106A"/>
    <w:rsid w:val="009F4839"/>
    <w:rsid w:val="00A05F34"/>
    <w:rsid w:val="00A40EAF"/>
    <w:rsid w:val="00A44395"/>
    <w:rsid w:val="00A50FCF"/>
    <w:rsid w:val="00A702C3"/>
    <w:rsid w:val="00A86199"/>
    <w:rsid w:val="00A91D87"/>
    <w:rsid w:val="00A922DE"/>
    <w:rsid w:val="00AA2CD2"/>
    <w:rsid w:val="00AC0160"/>
    <w:rsid w:val="00AD532A"/>
    <w:rsid w:val="00AD6812"/>
    <w:rsid w:val="00AD7BD4"/>
    <w:rsid w:val="00AE269E"/>
    <w:rsid w:val="00AF30D0"/>
    <w:rsid w:val="00B17B4D"/>
    <w:rsid w:val="00B32BC2"/>
    <w:rsid w:val="00B34DAD"/>
    <w:rsid w:val="00B4071E"/>
    <w:rsid w:val="00B47D6C"/>
    <w:rsid w:val="00B51540"/>
    <w:rsid w:val="00B57467"/>
    <w:rsid w:val="00B62781"/>
    <w:rsid w:val="00B824E0"/>
    <w:rsid w:val="00B92D18"/>
    <w:rsid w:val="00B954C7"/>
    <w:rsid w:val="00B977CC"/>
    <w:rsid w:val="00BA6250"/>
    <w:rsid w:val="00BA700C"/>
    <w:rsid w:val="00BC5EAD"/>
    <w:rsid w:val="00BD3E07"/>
    <w:rsid w:val="00BE05C0"/>
    <w:rsid w:val="00BE44F2"/>
    <w:rsid w:val="00BF7FE9"/>
    <w:rsid w:val="00C0375C"/>
    <w:rsid w:val="00C07934"/>
    <w:rsid w:val="00C103BC"/>
    <w:rsid w:val="00C113D3"/>
    <w:rsid w:val="00C12FB0"/>
    <w:rsid w:val="00C14928"/>
    <w:rsid w:val="00C205FA"/>
    <w:rsid w:val="00C2304D"/>
    <w:rsid w:val="00C23613"/>
    <w:rsid w:val="00C26C8A"/>
    <w:rsid w:val="00C30452"/>
    <w:rsid w:val="00C34337"/>
    <w:rsid w:val="00C34D8D"/>
    <w:rsid w:val="00C3645F"/>
    <w:rsid w:val="00C4390B"/>
    <w:rsid w:val="00C600CE"/>
    <w:rsid w:val="00C60C38"/>
    <w:rsid w:val="00C62EDA"/>
    <w:rsid w:val="00C653D4"/>
    <w:rsid w:val="00C71A62"/>
    <w:rsid w:val="00C7312E"/>
    <w:rsid w:val="00C73FD6"/>
    <w:rsid w:val="00C8524A"/>
    <w:rsid w:val="00C866A9"/>
    <w:rsid w:val="00CB5A59"/>
    <w:rsid w:val="00CC0BC4"/>
    <w:rsid w:val="00CC6BA1"/>
    <w:rsid w:val="00CD2AE8"/>
    <w:rsid w:val="00CD35DA"/>
    <w:rsid w:val="00CD6FB5"/>
    <w:rsid w:val="00CE1BF8"/>
    <w:rsid w:val="00CE1F4C"/>
    <w:rsid w:val="00CF1651"/>
    <w:rsid w:val="00CF29B7"/>
    <w:rsid w:val="00CF2B5D"/>
    <w:rsid w:val="00CF71BE"/>
    <w:rsid w:val="00D10CEF"/>
    <w:rsid w:val="00D22264"/>
    <w:rsid w:val="00D52626"/>
    <w:rsid w:val="00D55BFB"/>
    <w:rsid w:val="00D56BA5"/>
    <w:rsid w:val="00D652EB"/>
    <w:rsid w:val="00D65A2D"/>
    <w:rsid w:val="00D7077D"/>
    <w:rsid w:val="00D735D7"/>
    <w:rsid w:val="00D75E79"/>
    <w:rsid w:val="00D804DE"/>
    <w:rsid w:val="00D81BE6"/>
    <w:rsid w:val="00D81E24"/>
    <w:rsid w:val="00D8273B"/>
    <w:rsid w:val="00D85E35"/>
    <w:rsid w:val="00D92245"/>
    <w:rsid w:val="00D95779"/>
    <w:rsid w:val="00DA3A2A"/>
    <w:rsid w:val="00DB499C"/>
    <w:rsid w:val="00DB5BD6"/>
    <w:rsid w:val="00DC5C51"/>
    <w:rsid w:val="00DD0689"/>
    <w:rsid w:val="00DE0383"/>
    <w:rsid w:val="00DE3CAA"/>
    <w:rsid w:val="00DE41E9"/>
    <w:rsid w:val="00DE707D"/>
    <w:rsid w:val="00DF0E98"/>
    <w:rsid w:val="00DF67F3"/>
    <w:rsid w:val="00DF713A"/>
    <w:rsid w:val="00E03344"/>
    <w:rsid w:val="00E058D5"/>
    <w:rsid w:val="00E23F4E"/>
    <w:rsid w:val="00E26CF6"/>
    <w:rsid w:val="00E27884"/>
    <w:rsid w:val="00E279FB"/>
    <w:rsid w:val="00E3526D"/>
    <w:rsid w:val="00E427F6"/>
    <w:rsid w:val="00E505EB"/>
    <w:rsid w:val="00E514CB"/>
    <w:rsid w:val="00E55229"/>
    <w:rsid w:val="00E563E2"/>
    <w:rsid w:val="00E64175"/>
    <w:rsid w:val="00E67FCC"/>
    <w:rsid w:val="00E76C80"/>
    <w:rsid w:val="00E9244B"/>
    <w:rsid w:val="00E9399C"/>
    <w:rsid w:val="00E971C0"/>
    <w:rsid w:val="00E97814"/>
    <w:rsid w:val="00EB793F"/>
    <w:rsid w:val="00EB7D3C"/>
    <w:rsid w:val="00EC29CE"/>
    <w:rsid w:val="00EC796E"/>
    <w:rsid w:val="00ED10BE"/>
    <w:rsid w:val="00ED666E"/>
    <w:rsid w:val="00EE2264"/>
    <w:rsid w:val="00EE3AEB"/>
    <w:rsid w:val="00EF138B"/>
    <w:rsid w:val="00EF4725"/>
    <w:rsid w:val="00EF7927"/>
    <w:rsid w:val="00EF79DE"/>
    <w:rsid w:val="00F0238C"/>
    <w:rsid w:val="00F0288C"/>
    <w:rsid w:val="00F0653E"/>
    <w:rsid w:val="00F06756"/>
    <w:rsid w:val="00F154E7"/>
    <w:rsid w:val="00F15D48"/>
    <w:rsid w:val="00F162D3"/>
    <w:rsid w:val="00F206C0"/>
    <w:rsid w:val="00F23446"/>
    <w:rsid w:val="00F23C09"/>
    <w:rsid w:val="00F23FDC"/>
    <w:rsid w:val="00F2739B"/>
    <w:rsid w:val="00F277EB"/>
    <w:rsid w:val="00F412A0"/>
    <w:rsid w:val="00F4341E"/>
    <w:rsid w:val="00F46046"/>
    <w:rsid w:val="00F47552"/>
    <w:rsid w:val="00F56BD2"/>
    <w:rsid w:val="00F82ACF"/>
    <w:rsid w:val="00F83E5B"/>
    <w:rsid w:val="00FB5BE1"/>
    <w:rsid w:val="00FC1243"/>
    <w:rsid w:val="00FC573E"/>
    <w:rsid w:val="00FD6D8E"/>
    <w:rsid w:val="00FE11A0"/>
    <w:rsid w:val="00FE1E4E"/>
    <w:rsid w:val="00FE79AE"/>
    <w:rsid w:val="00FF6028"/>
  </w:rsids>
  <m:mathPr>
    <m:mathFont m:val="Arial Unicode MS"/>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D9D"/>
  </w:style>
  <w:style w:type="paragraph" w:styleId="Heading1">
    <w:name w:val="heading 1"/>
    <w:basedOn w:val="Normal"/>
    <w:next w:val="Normal"/>
    <w:link w:val="Heading1Char"/>
    <w:uiPriority w:val="9"/>
    <w:qFormat/>
    <w:rsid w:val="0007444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7444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35A1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9B6705"/>
    <w:pPr>
      <w:ind w:left="720"/>
      <w:contextualSpacing/>
    </w:pPr>
  </w:style>
  <w:style w:type="paragraph" w:styleId="NormalWeb">
    <w:name w:val="Normal (Web)"/>
    <w:basedOn w:val="Normal"/>
    <w:uiPriority w:val="99"/>
    <w:unhideWhenUsed/>
    <w:rsid w:val="00CC0BC4"/>
    <w:pPr>
      <w:spacing w:before="100" w:beforeAutospacing="1" w:after="100" w:afterAutospacing="1" w:line="240" w:lineRule="auto"/>
    </w:pPr>
    <w:rPr>
      <w:rFonts w:ascii="Times New Roman" w:eastAsiaTheme="minorEastAsia" w:hAnsi="Times New Roman" w:cs="Times New Roman"/>
      <w:sz w:val="24"/>
      <w:szCs w:val="24"/>
    </w:rPr>
  </w:style>
  <w:style w:type="paragraph" w:styleId="Title">
    <w:name w:val="Title"/>
    <w:basedOn w:val="Normal"/>
    <w:next w:val="Normal"/>
    <w:link w:val="TitleChar"/>
    <w:uiPriority w:val="10"/>
    <w:qFormat/>
    <w:rsid w:val="0007444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74447"/>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074447"/>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074447"/>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035A18"/>
    <w:rPr>
      <w:rFonts w:asciiTheme="majorHAnsi" w:eastAsiaTheme="majorEastAsia" w:hAnsiTheme="majorHAnsi" w:cstheme="majorBidi"/>
      <w:color w:val="1F4D78" w:themeColor="accent1" w:themeShade="7F"/>
      <w:sz w:val="24"/>
      <w:szCs w:val="24"/>
    </w:rPr>
  </w:style>
  <w:style w:type="paragraph" w:styleId="Subtitle">
    <w:name w:val="Subtitle"/>
    <w:basedOn w:val="Normal"/>
    <w:next w:val="Normal"/>
    <w:link w:val="SubtitleChar"/>
    <w:uiPriority w:val="11"/>
    <w:qFormat/>
    <w:rsid w:val="0024346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43465"/>
    <w:rPr>
      <w:rFonts w:eastAsiaTheme="minorEastAsia"/>
      <w:color w:val="5A5A5A" w:themeColor="text1" w:themeTint="A5"/>
      <w:spacing w:val="15"/>
    </w:rPr>
  </w:style>
  <w:style w:type="paragraph" w:styleId="FootnoteText">
    <w:name w:val="footnote text"/>
    <w:basedOn w:val="Normal"/>
    <w:link w:val="FootnoteTextChar"/>
    <w:uiPriority w:val="99"/>
    <w:semiHidden/>
    <w:unhideWhenUsed/>
    <w:rsid w:val="003814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814D7"/>
    <w:rPr>
      <w:sz w:val="20"/>
      <w:szCs w:val="20"/>
    </w:rPr>
  </w:style>
  <w:style w:type="character" w:styleId="FootnoteReference">
    <w:name w:val="footnote reference"/>
    <w:basedOn w:val="DefaultParagraphFont"/>
    <w:uiPriority w:val="99"/>
    <w:semiHidden/>
    <w:unhideWhenUsed/>
    <w:rsid w:val="003814D7"/>
    <w:rPr>
      <w:vertAlign w:val="superscript"/>
    </w:rPr>
  </w:style>
  <w:style w:type="paragraph" w:styleId="Header">
    <w:name w:val="header"/>
    <w:basedOn w:val="Normal"/>
    <w:link w:val="HeaderChar"/>
    <w:uiPriority w:val="99"/>
    <w:unhideWhenUsed/>
    <w:rsid w:val="008D1E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1EFF"/>
  </w:style>
  <w:style w:type="paragraph" w:styleId="Footer">
    <w:name w:val="footer"/>
    <w:basedOn w:val="Normal"/>
    <w:link w:val="FooterChar"/>
    <w:uiPriority w:val="99"/>
    <w:unhideWhenUsed/>
    <w:rsid w:val="008D1E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1EFF"/>
  </w:style>
</w:styles>
</file>

<file path=word/webSettings.xml><?xml version="1.0" encoding="utf-8"?>
<w:webSettings xmlns:r="http://schemas.openxmlformats.org/officeDocument/2006/relationships" xmlns:w="http://schemas.openxmlformats.org/wordprocessingml/2006/main">
  <w:divs>
    <w:div w:id="203830060">
      <w:bodyDiv w:val="1"/>
      <w:marLeft w:val="0"/>
      <w:marRight w:val="0"/>
      <w:marTop w:val="0"/>
      <w:marBottom w:val="0"/>
      <w:divBdr>
        <w:top w:val="none" w:sz="0" w:space="0" w:color="auto"/>
        <w:left w:val="none" w:sz="0" w:space="0" w:color="auto"/>
        <w:bottom w:val="none" w:sz="0" w:space="0" w:color="auto"/>
        <w:right w:val="none" w:sz="0" w:space="0" w:color="auto"/>
      </w:divBdr>
    </w:div>
    <w:div w:id="325864540">
      <w:bodyDiv w:val="1"/>
      <w:marLeft w:val="0"/>
      <w:marRight w:val="0"/>
      <w:marTop w:val="0"/>
      <w:marBottom w:val="0"/>
      <w:divBdr>
        <w:top w:val="none" w:sz="0" w:space="0" w:color="auto"/>
        <w:left w:val="none" w:sz="0" w:space="0" w:color="auto"/>
        <w:bottom w:val="none" w:sz="0" w:space="0" w:color="auto"/>
        <w:right w:val="none" w:sz="0" w:space="0" w:color="auto"/>
      </w:divBdr>
    </w:div>
    <w:div w:id="456333467">
      <w:bodyDiv w:val="1"/>
      <w:marLeft w:val="0"/>
      <w:marRight w:val="0"/>
      <w:marTop w:val="0"/>
      <w:marBottom w:val="0"/>
      <w:divBdr>
        <w:top w:val="none" w:sz="0" w:space="0" w:color="auto"/>
        <w:left w:val="none" w:sz="0" w:space="0" w:color="auto"/>
        <w:bottom w:val="none" w:sz="0" w:space="0" w:color="auto"/>
        <w:right w:val="none" w:sz="0" w:space="0" w:color="auto"/>
      </w:divBdr>
    </w:div>
    <w:div w:id="756831583">
      <w:bodyDiv w:val="1"/>
      <w:marLeft w:val="0"/>
      <w:marRight w:val="0"/>
      <w:marTop w:val="0"/>
      <w:marBottom w:val="0"/>
      <w:divBdr>
        <w:top w:val="none" w:sz="0" w:space="0" w:color="auto"/>
        <w:left w:val="none" w:sz="0" w:space="0" w:color="auto"/>
        <w:bottom w:val="none" w:sz="0" w:space="0" w:color="auto"/>
        <w:right w:val="none" w:sz="0" w:space="0" w:color="auto"/>
      </w:divBdr>
    </w:div>
    <w:div w:id="758671529">
      <w:bodyDiv w:val="1"/>
      <w:marLeft w:val="0"/>
      <w:marRight w:val="0"/>
      <w:marTop w:val="0"/>
      <w:marBottom w:val="0"/>
      <w:divBdr>
        <w:top w:val="none" w:sz="0" w:space="0" w:color="auto"/>
        <w:left w:val="none" w:sz="0" w:space="0" w:color="auto"/>
        <w:bottom w:val="none" w:sz="0" w:space="0" w:color="auto"/>
        <w:right w:val="none" w:sz="0" w:space="0" w:color="auto"/>
      </w:divBdr>
    </w:div>
    <w:div w:id="791899902">
      <w:bodyDiv w:val="1"/>
      <w:marLeft w:val="0"/>
      <w:marRight w:val="0"/>
      <w:marTop w:val="0"/>
      <w:marBottom w:val="0"/>
      <w:divBdr>
        <w:top w:val="none" w:sz="0" w:space="0" w:color="auto"/>
        <w:left w:val="none" w:sz="0" w:space="0" w:color="auto"/>
        <w:bottom w:val="none" w:sz="0" w:space="0" w:color="auto"/>
        <w:right w:val="none" w:sz="0" w:space="0" w:color="auto"/>
      </w:divBdr>
    </w:div>
    <w:div w:id="880243332">
      <w:bodyDiv w:val="1"/>
      <w:marLeft w:val="0"/>
      <w:marRight w:val="0"/>
      <w:marTop w:val="0"/>
      <w:marBottom w:val="0"/>
      <w:divBdr>
        <w:top w:val="none" w:sz="0" w:space="0" w:color="auto"/>
        <w:left w:val="none" w:sz="0" w:space="0" w:color="auto"/>
        <w:bottom w:val="none" w:sz="0" w:space="0" w:color="auto"/>
        <w:right w:val="none" w:sz="0" w:space="0" w:color="auto"/>
      </w:divBdr>
    </w:div>
    <w:div w:id="1230727144">
      <w:bodyDiv w:val="1"/>
      <w:marLeft w:val="0"/>
      <w:marRight w:val="0"/>
      <w:marTop w:val="0"/>
      <w:marBottom w:val="0"/>
      <w:divBdr>
        <w:top w:val="none" w:sz="0" w:space="0" w:color="auto"/>
        <w:left w:val="none" w:sz="0" w:space="0" w:color="auto"/>
        <w:bottom w:val="none" w:sz="0" w:space="0" w:color="auto"/>
        <w:right w:val="none" w:sz="0" w:space="0" w:color="auto"/>
      </w:divBdr>
    </w:div>
    <w:div w:id="1238712235">
      <w:bodyDiv w:val="1"/>
      <w:marLeft w:val="0"/>
      <w:marRight w:val="0"/>
      <w:marTop w:val="0"/>
      <w:marBottom w:val="0"/>
      <w:divBdr>
        <w:top w:val="none" w:sz="0" w:space="0" w:color="auto"/>
        <w:left w:val="none" w:sz="0" w:space="0" w:color="auto"/>
        <w:bottom w:val="none" w:sz="0" w:space="0" w:color="auto"/>
        <w:right w:val="none" w:sz="0" w:space="0" w:color="auto"/>
      </w:divBdr>
      <w:divsChild>
        <w:div w:id="861406919">
          <w:marLeft w:val="0"/>
          <w:marRight w:val="0"/>
          <w:marTop w:val="0"/>
          <w:marBottom w:val="0"/>
          <w:divBdr>
            <w:top w:val="none" w:sz="0" w:space="0" w:color="auto"/>
            <w:left w:val="none" w:sz="0" w:space="0" w:color="auto"/>
            <w:bottom w:val="none" w:sz="0" w:space="0" w:color="auto"/>
            <w:right w:val="none" w:sz="0" w:space="0" w:color="auto"/>
          </w:divBdr>
          <w:divsChild>
            <w:div w:id="229927355">
              <w:marLeft w:val="0"/>
              <w:marRight w:val="0"/>
              <w:marTop w:val="0"/>
              <w:marBottom w:val="0"/>
              <w:divBdr>
                <w:top w:val="none" w:sz="0" w:space="0" w:color="auto"/>
                <w:left w:val="none" w:sz="0" w:space="0" w:color="auto"/>
                <w:bottom w:val="none" w:sz="0" w:space="0" w:color="auto"/>
                <w:right w:val="none" w:sz="0" w:space="0" w:color="auto"/>
              </w:divBdr>
              <w:divsChild>
                <w:div w:id="297956960">
                  <w:marLeft w:val="0"/>
                  <w:marRight w:val="0"/>
                  <w:marTop w:val="0"/>
                  <w:marBottom w:val="0"/>
                  <w:divBdr>
                    <w:top w:val="none" w:sz="0" w:space="0" w:color="auto"/>
                    <w:left w:val="none" w:sz="0" w:space="0" w:color="auto"/>
                    <w:bottom w:val="none" w:sz="0" w:space="0" w:color="auto"/>
                    <w:right w:val="none" w:sz="0" w:space="0" w:color="auto"/>
                  </w:divBdr>
                  <w:divsChild>
                    <w:div w:id="261845847">
                      <w:marLeft w:val="0"/>
                      <w:marRight w:val="0"/>
                      <w:marTop w:val="0"/>
                      <w:marBottom w:val="0"/>
                      <w:divBdr>
                        <w:top w:val="none" w:sz="0" w:space="0" w:color="auto"/>
                        <w:left w:val="none" w:sz="0" w:space="0" w:color="auto"/>
                        <w:bottom w:val="none" w:sz="0" w:space="0" w:color="auto"/>
                        <w:right w:val="none" w:sz="0" w:space="0" w:color="auto"/>
                      </w:divBdr>
                      <w:divsChild>
                        <w:div w:id="2138718649">
                          <w:marLeft w:val="0"/>
                          <w:marRight w:val="0"/>
                          <w:marTop w:val="0"/>
                          <w:marBottom w:val="0"/>
                          <w:divBdr>
                            <w:top w:val="none" w:sz="0" w:space="0" w:color="auto"/>
                            <w:left w:val="none" w:sz="0" w:space="0" w:color="auto"/>
                            <w:bottom w:val="none" w:sz="0" w:space="0" w:color="auto"/>
                            <w:right w:val="none" w:sz="0" w:space="0" w:color="auto"/>
                          </w:divBdr>
                          <w:divsChild>
                            <w:div w:id="1856578728">
                              <w:marLeft w:val="0"/>
                              <w:marRight w:val="0"/>
                              <w:marTop w:val="0"/>
                              <w:marBottom w:val="0"/>
                              <w:divBdr>
                                <w:top w:val="none" w:sz="0" w:space="0" w:color="auto"/>
                                <w:left w:val="none" w:sz="0" w:space="0" w:color="auto"/>
                                <w:bottom w:val="none" w:sz="0" w:space="0" w:color="auto"/>
                                <w:right w:val="none" w:sz="0" w:space="0" w:color="auto"/>
                              </w:divBdr>
                              <w:divsChild>
                                <w:div w:id="1811828184">
                                  <w:marLeft w:val="0"/>
                                  <w:marRight w:val="0"/>
                                  <w:marTop w:val="0"/>
                                  <w:marBottom w:val="0"/>
                                  <w:divBdr>
                                    <w:top w:val="none" w:sz="0" w:space="0" w:color="auto"/>
                                    <w:left w:val="none" w:sz="0" w:space="0" w:color="auto"/>
                                    <w:bottom w:val="none" w:sz="0" w:space="0" w:color="auto"/>
                                    <w:right w:val="none" w:sz="0" w:space="0" w:color="auto"/>
                                  </w:divBdr>
                                  <w:divsChild>
                                    <w:div w:id="2007896240">
                                      <w:marLeft w:val="0"/>
                                      <w:marRight w:val="0"/>
                                      <w:marTop w:val="0"/>
                                      <w:marBottom w:val="0"/>
                                      <w:divBdr>
                                        <w:top w:val="none" w:sz="0" w:space="0" w:color="auto"/>
                                        <w:left w:val="none" w:sz="0" w:space="0" w:color="auto"/>
                                        <w:bottom w:val="none" w:sz="0" w:space="0" w:color="auto"/>
                                        <w:right w:val="none" w:sz="0" w:space="0" w:color="auto"/>
                                      </w:divBdr>
                                      <w:divsChild>
                                        <w:div w:id="180453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8784557">
      <w:bodyDiv w:val="1"/>
      <w:marLeft w:val="0"/>
      <w:marRight w:val="0"/>
      <w:marTop w:val="0"/>
      <w:marBottom w:val="0"/>
      <w:divBdr>
        <w:top w:val="none" w:sz="0" w:space="0" w:color="auto"/>
        <w:left w:val="none" w:sz="0" w:space="0" w:color="auto"/>
        <w:bottom w:val="none" w:sz="0" w:space="0" w:color="auto"/>
        <w:right w:val="none" w:sz="0" w:space="0" w:color="auto"/>
      </w:divBdr>
    </w:div>
    <w:div w:id="1637832689">
      <w:bodyDiv w:val="1"/>
      <w:marLeft w:val="0"/>
      <w:marRight w:val="0"/>
      <w:marTop w:val="0"/>
      <w:marBottom w:val="0"/>
      <w:divBdr>
        <w:top w:val="none" w:sz="0" w:space="0" w:color="auto"/>
        <w:left w:val="none" w:sz="0" w:space="0" w:color="auto"/>
        <w:bottom w:val="none" w:sz="0" w:space="0" w:color="auto"/>
        <w:right w:val="none" w:sz="0" w:space="0" w:color="auto"/>
      </w:divBdr>
    </w:div>
    <w:div w:id="1703433018">
      <w:bodyDiv w:val="1"/>
      <w:marLeft w:val="0"/>
      <w:marRight w:val="0"/>
      <w:marTop w:val="0"/>
      <w:marBottom w:val="0"/>
      <w:divBdr>
        <w:top w:val="none" w:sz="0" w:space="0" w:color="auto"/>
        <w:left w:val="none" w:sz="0" w:space="0" w:color="auto"/>
        <w:bottom w:val="none" w:sz="0" w:space="0" w:color="auto"/>
        <w:right w:val="none" w:sz="0" w:space="0" w:color="auto"/>
      </w:divBdr>
    </w:div>
    <w:div w:id="1750805932">
      <w:bodyDiv w:val="1"/>
      <w:marLeft w:val="0"/>
      <w:marRight w:val="0"/>
      <w:marTop w:val="0"/>
      <w:marBottom w:val="0"/>
      <w:divBdr>
        <w:top w:val="none" w:sz="0" w:space="0" w:color="auto"/>
        <w:left w:val="none" w:sz="0" w:space="0" w:color="auto"/>
        <w:bottom w:val="none" w:sz="0" w:space="0" w:color="auto"/>
        <w:right w:val="none" w:sz="0" w:space="0" w:color="auto"/>
      </w:divBdr>
    </w:div>
    <w:div w:id="1980263697">
      <w:bodyDiv w:val="1"/>
      <w:marLeft w:val="0"/>
      <w:marRight w:val="0"/>
      <w:marTop w:val="0"/>
      <w:marBottom w:val="0"/>
      <w:divBdr>
        <w:top w:val="none" w:sz="0" w:space="0" w:color="auto"/>
        <w:left w:val="none" w:sz="0" w:space="0" w:color="auto"/>
        <w:bottom w:val="none" w:sz="0" w:space="0" w:color="auto"/>
        <w:right w:val="none" w:sz="0" w:space="0" w:color="auto"/>
      </w:divBdr>
    </w:div>
    <w:div w:id="1981962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xmlns:a="http://schemas.openxmlformats.org/drawingml/2006/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26A7B-E4AF-4C34-B02A-6608269D1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11292</Words>
  <Characters>64369</Characters>
  <Application>Microsoft Word 12.0.0</Application>
  <DocSecurity>0</DocSecurity>
  <Lines>536</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dc:creator>
  <cp:lastModifiedBy>Piers Tattersall</cp:lastModifiedBy>
  <cp:revision>2</cp:revision>
  <dcterms:created xsi:type="dcterms:W3CDTF">2015-08-28T15:46:00Z</dcterms:created>
  <dcterms:modified xsi:type="dcterms:W3CDTF">2015-08-28T15:46:00Z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wes.kendrick@gmail.com@www.mendeley.com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